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auto"/>
          <w:highlight w:val="none"/>
        </w:rPr>
      </w:pPr>
      <w:bookmarkStart w:id="0" w:name="_Toc437007907"/>
      <w:bookmarkStart w:id="1" w:name="_Toc328905336"/>
      <w:r>
        <w:rPr>
          <w:rFonts w:hint="eastAsia" w:ascii="宋体" w:hAnsi="宋体" w:cs="宋体"/>
          <w:color w:val="auto"/>
          <w:sz w:val="20"/>
          <w:highlight w:val="none"/>
        </w:rPr>
        <w:drawing>
          <wp:anchor distT="0" distB="0" distL="114300" distR="114300" simplePos="0" relativeHeight="251663360" behindDoc="1" locked="0" layoutInCell="1" allowOverlap="1">
            <wp:simplePos x="0" y="0"/>
            <wp:positionH relativeFrom="column">
              <wp:posOffset>-38100</wp:posOffset>
            </wp:positionH>
            <wp:positionV relativeFrom="paragraph">
              <wp:posOffset>120650</wp:posOffset>
            </wp:positionV>
            <wp:extent cx="1470660" cy="1262380"/>
            <wp:effectExtent l="0" t="0" r="15240" b="1397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263015"/>
                    </a:xfrm>
                    <a:prstGeom prst="rect">
                      <a:avLst/>
                    </a:prstGeom>
                    <a:noFill/>
                    <a:ln cap="flat"/>
                  </pic:spPr>
                </pic:pic>
              </a:graphicData>
            </a:graphic>
          </wp:anchor>
        </w:drawing>
      </w:r>
    </w:p>
    <w:p>
      <w:pPr>
        <w:jc w:val="right"/>
        <w:rPr>
          <w:rFonts w:ascii="宋体" w:hAnsi="宋体" w:cs="宋体"/>
          <w:b/>
          <w:color w:val="auto"/>
          <w:sz w:val="24"/>
          <w:szCs w:val="24"/>
          <w:highlight w:val="none"/>
        </w:rPr>
      </w:pPr>
    </w:p>
    <w:p>
      <w:pPr>
        <w:jc w:val="right"/>
        <w:rPr>
          <w:rFonts w:ascii="宋体" w:hAnsi="宋体" w:cs="宋体"/>
          <w:b/>
          <w:color w:val="auto"/>
          <w:sz w:val="24"/>
          <w:szCs w:val="24"/>
          <w:highlight w:val="none"/>
        </w:rPr>
      </w:pPr>
    </w:p>
    <w:p>
      <w:pPr>
        <w:jc w:val="right"/>
        <w:rPr>
          <w:rFonts w:ascii="宋体" w:hAnsi="宋体" w:cs="宋体"/>
          <w:b/>
          <w:color w:val="auto"/>
          <w:sz w:val="28"/>
          <w:szCs w:val="28"/>
          <w:highlight w:val="none"/>
        </w:rPr>
      </w:pPr>
      <w:r>
        <w:rPr>
          <w:rFonts w:hint="eastAsia" w:ascii="宋体" w:hAnsi="宋体" w:cs="宋体"/>
          <w:b/>
          <w:color w:val="auto"/>
          <w:sz w:val="24"/>
          <w:szCs w:val="24"/>
          <w:highlight w:val="none"/>
        </w:rPr>
        <w:t xml:space="preserve">  </w:t>
      </w:r>
      <w:r>
        <w:rPr>
          <w:rFonts w:hint="eastAsia" w:ascii="宋体" w:hAnsi="宋体" w:cs="宋体"/>
          <w:b/>
          <w:color w:val="auto"/>
          <w:sz w:val="28"/>
          <w:szCs w:val="28"/>
          <w:highlight w:val="none"/>
        </w:rPr>
        <w:t xml:space="preserve"> 委托编号： ZLD2023-CGC1607　  </w:t>
      </w:r>
    </w:p>
    <w:p>
      <w:pPr>
        <w:jc w:val="center"/>
        <w:rPr>
          <w:rFonts w:ascii="宋体" w:hAnsi="宋体" w:cs="宋体"/>
          <w:b/>
          <w:color w:val="auto"/>
          <w:sz w:val="28"/>
          <w:szCs w:val="28"/>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pStyle w:val="17"/>
        <w:ind w:firstLine="420"/>
        <w:rPr>
          <w:rFonts w:ascii="宋体" w:hAnsi="宋体" w:cs="宋体"/>
          <w:color w:val="auto"/>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8"/>
          <w:szCs w:val="28"/>
          <w:highlight w:val="none"/>
        </w:rPr>
      </w:pPr>
    </w:p>
    <w:p>
      <w:pPr>
        <w:jc w:val="center"/>
        <w:rPr>
          <w:rFonts w:ascii="宋体" w:hAnsi="宋体" w:cs="宋体"/>
          <w:b/>
          <w:color w:val="auto"/>
          <w:sz w:val="40"/>
          <w:szCs w:val="40"/>
          <w:highlight w:val="none"/>
        </w:rPr>
      </w:pPr>
      <w:r>
        <w:rPr>
          <w:rFonts w:hint="eastAsia" w:ascii="宋体" w:hAnsi="宋体" w:cs="宋体"/>
          <w:b/>
          <w:color w:val="auto"/>
          <w:sz w:val="40"/>
          <w:szCs w:val="40"/>
          <w:highlight w:val="none"/>
        </w:rPr>
        <w:t>化州市妇幼保健院绩效管理体系建设项目</w:t>
      </w:r>
    </w:p>
    <w:p>
      <w:pPr>
        <w:pStyle w:val="17"/>
        <w:ind w:firstLine="420"/>
        <w:rPr>
          <w:rFonts w:ascii="宋体" w:hAnsi="宋体" w:cs="宋体"/>
          <w:color w:val="auto"/>
          <w:sz w:val="22"/>
          <w:szCs w:val="22"/>
          <w:highlight w:val="none"/>
        </w:rPr>
      </w:pPr>
    </w:p>
    <w:p>
      <w:pPr>
        <w:pStyle w:val="17"/>
        <w:ind w:firstLine="420"/>
        <w:rPr>
          <w:rFonts w:ascii="宋体" w:hAnsi="宋体" w:cs="宋体"/>
          <w:color w:val="auto"/>
          <w:sz w:val="22"/>
          <w:szCs w:val="22"/>
          <w:highlight w:val="none"/>
        </w:rPr>
      </w:pPr>
    </w:p>
    <w:p>
      <w:pPr>
        <w:pStyle w:val="17"/>
        <w:ind w:firstLine="420"/>
        <w:rPr>
          <w:rFonts w:ascii="宋体" w:hAnsi="宋体" w:cs="宋体"/>
          <w:color w:val="auto"/>
          <w:sz w:val="22"/>
          <w:szCs w:val="22"/>
          <w:highlight w:val="none"/>
        </w:rPr>
      </w:pPr>
      <w:bookmarkStart w:id="18" w:name="_GoBack"/>
      <w:bookmarkEnd w:id="18"/>
    </w:p>
    <w:p>
      <w:pPr>
        <w:pStyle w:val="17"/>
        <w:ind w:firstLine="420"/>
        <w:rPr>
          <w:rFonts w:ascii="宋体" w:hAnsi="宋体" w:cs="宋体"/>
          <w:color w:val="auto"/>
          <w:sz w:val="22"/>
          <w:szCs w:val="22"/>
          <w:highlight w:val="none"/>
        </w:rPr>
      </w:pPr>
    </w:p>
    <w:p>
      <w:pPr>
        <w:pStyle w:val="17"/>
        <w:ind w:firstLine="420"/>
        <w:rPr>
          <w:rFonts w:ascii="宋体" w:hAnsi="宋体" w:cs="宋体"/>
          <w:color w:val="auto"/>
          <w:sz w:val="22"/>
          <w:szCs w:val="22"/>
          <w:highlight w:val="none"/>
        </w:rPr>
      </w:pPr>
    </w:p>
    <w:p>
      <w:pPr>
        <w:pStyle w:val="17"/>
        <w:ind w:firstLine="420"/>
        <w:rPr>
          <w:rFonts w:ascii="宋体" w:hAnsi="宋体" w:cs="宋体"/>
          <w:color w:val="auto"/>
          <w:sz w:val="22"/>
          <w:szCs w:val="22"/>
          <w:highlight w:val="none"/>
        </w:rPr>
      </w:pPr>
    </w:p>
    <w:p>
      <w:pPr>
        <w:rPr>
          <w:rFonts w:ascii="宋体" w:hAnsi="宋体" w:cs="宋体"/>
          <w:color w:val="auto"/>
          <w:sz w:val="22"/>
          <w:szCs w:val="22"/>
          <w:highlight w:val="none"/>
        </w:rPr>
      </w:pPr>
    </w:p>
    <w:p>
      <w:pPr>
        <w:jc w:val="center"/>
        <w:rPr>
          <w:rFonts w:ascii="宋体" w:hAnsi="宋体" w:cs="宋体"/>
          <w:b/>
          <w:color w:val="auto"/>
          <w:sz w:val="96"/>
          <w:szCs w:val="96"/>
          <w:highlight w:val="none"/>
        </w:rPr>
      </w:pPr>
      <w:r>
        <w:rPr>
          <w:rFonts w:hint="eastAsia" w:ascii="宋体" w:hAnsi="宋体" w:cs="宋体"/>
          <w:b/>
          <w:color w:val="auto"/>
          <w:sz w:val="52"/>
          <w:szCs w:val="52"/>
          <w:highlight w:val="none"/>
        </w:rPr>
        <w:t>竞 争 性 磋 商 文 件</w:t>
      </w:r>
    </w:p>
    <w:p>
      <w:pPr>
        <w:jc w:val="center"/>
        <w:rPr>
          <w:rFonts w:ascii="宋体" w:hAnsi="宋体" w:cs="宋体"/>
          <w:b/>
          <w:color w:val="auto"/>
          <w:sz w:val="96"/>
          <w:szCs w:val="96"/>
          <w:highlight w:val="none"/>
        </w:rPr>
      </w:pPr>
    </w:p>
    <w:p>
      <w:pPr>
        <w:pStyle w:val="17"/>
        <w:ind w:firstLine="420"/>
        <w:rPr>
          <w:rFonts w:ascii="宋体" w:hAnsi="宋体" w:cs="宋体"/>
          <w:color w:val="auto"/>
          <w:highlight w:val="none"/>
        </w:rPr>
      </w:pPr>
    </w:p>
    <w:p>
      <w:pPr>
        <w:pStyle w:val="17"/>
        <w:ind w:firstLine="420"/>
        <w:rPr>
          <w:rFonts w:ascii="宋体" w:hAnsi="宋体" w:cs="宋体"/>
          <w:color w:val="auto"/>
          <w:highlight w:val="none"/>
        </w:rPr>
      </w:pPr>
    </w:p>
    <w:p>
      <w:pPr>
        <w:pStyle w:val="17"/>
        <w:ind w:firstLine="420"/>
        <w:rPr>
          <w:rFonts w:ascii="宋体" w:hAnsi="宋体" w:cs="宋体"/>
          <w:color w:val="auto"/>
          <w:highlight w:val="none"/>
        </w:rPr>
      </w:pPr>
    </w:p>
    <w:p>
      <w:pPr>
        <w:pStyle w:val="17"/>
        <w:ind w:firstLine="420"/>
        <w:rPr>
          <w:rFonts w:ascii="宋体" w:hAnsi="宋体" w:cs="宋体"/>
          <w:color w:val="auto"/>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color w:val="auto"/>
          <w:highlight w:val="none"/>
        </w:rPr>
      </w:pPr>
      <w:r>
        <w:rPr>
          <w:rFonts w:hint="eastAsia" w:ascii="宋体" w:hAnsi="宋体" w:cs="宋体"/>
          <w:b/>
          <w:color w:val="auto"/>
          <w:sz w:val="24"/>
          <w:szCs w:val="24"/>
          <w:highlight w:val="none"/>
        </w:rPr>
        <w:t>　</w:t>
      </w:r>
    </w:p>
    <w:p>
      <w:pPr>
        <w:jc w:val="center"/>
        <w:rPr>
          <w:rFonts w:ascii="宋体" w:hAnsi="宋体" w:cs="宋体"/>
          <w:color w:val="auto"/>
          <w:sz w:val="22"/>
          <w:szCs w:val="22"/>
          <w:highlight w:val="none"/>
        </w:rPr>
      </w:pPr>
      <w:r>
        <w:rPr>
          <w:rFonts w:hint="eastAsia" w:ascii="宋体" w:hAnsi="宋体" w:cs="宋体"/>
          <w:b/>
          <w:color w:val="auto"/>
          <w:sz w:val="28"/>
          <w:szCs w:val="28"/>
          <w:highlight w:val="none"/>
        </w:rPr>
        <w:t>采购人：化州市妇幼保健院</w:t>
      </w:r>
    </w:p>
    <w:p>
      <w:pPr>
        <w:jc w:val="center"/>
        <w:rPr>
          <w:rFonts w:ascii="宋体" w:hAnsi="宋体" w:cs="宋体"/>
          <w:color w:val="auto"/>
          <w:highlight w:val="none"/>
        </w:rPr>
      </w:pPr>
      <w:r>
        <w:rPr>
          <w:rFonts w:hint="eastAsia" w:ascii="宋体" w:hAnsi="宋体" w:cs="宋体"/>
          <w:b/>
          <w:color w:val="auto"/>
          <w:sz w:val="28"/>
          <w:szCs w:val="28"/>
          <w:highlight w:val="none"/>
        </w:rPr>
        <w:t>采购代理机构：广东正联德工程咨询有限公司</w:t>
      </w:r>
    </w:p>
    <w:p>
      <w:pPr>
        <w:jc w:val="center"/>
        <w:rPr>
          <w:rFonts w:ascii="宋体" w:hAnsi="宋体" w:cs="宋体"/>
          <w:b/>
          <w:color w:val="auto"/>
          <w:sz w:val="28"/>
          <w:szCs w:val="28"/>
          <w:highlight w:val="none"/>
        </w:rPr>
      </w:pPr>
    </w:p>
    <w:p>
      <w:pPr>
        <w:jc w:val="center"/>
        <w:rPr>
          <w:rFonts w:ascii="宋体" w:hAnsi="宋体" w:cs="宋体"/>
          <w:b/>
          <w:color w:val="auto"/>
          <w:sz w:val="24"/>
          <w:szCs w:val="24"/>
          <w:highlight w:val="none"/>
        </w:rPr>
        <w:sectPr>
          <w:headerReference r:id="rId3" w:type="default"/>
          <w:footerReference r:id="rId4" w:type="default"/>
          <w:pgSz w:w="11906" w:h="16838"/>
          <w:pgMar w:top="1418" w:right="1701" w:bottom="1418" w:left="1701" w:header="851" w:footer="992" w:gutter="0"/>
          <w:pgNumType w:fmt="numberInDash" w:start="0"/>
          <w:cols w:space="720" w:num="1"/>
          <w:titlePg/>
          <w:docGrid w:linePitch="312" w:charSpace="0"/>
        </w:sect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温馨提示</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一、网络公示的采购文件仅浏览用，以供应商报名并购买的响应文件版本为准。</w:t>
      </w:r>
    </w:p>
    <w:p>
      <w:pPr>
        <w:tabs>
          <w:tab w:val="left" w:pos="851"/>
        </w:tabs>
        <w:spacing w:line="460" w:lineRule="exact"/>
        <w:ind w:firstLine="482"/>
        <w:rPr>
          <w:rFonts w:ascii="宋体" w:hAnsi="宋体" w:cs="宋体"/>
          <w:color w:val="auto"/>
          <w:sz w:val="24"/>
          <w:szCs w:val="24"/>
          <w:highlight w:val="none"/>
        </w:rPr>
      </w:pPr>
      <w:r>
        <w:rPr>
          <w:rFonts w:hint="eastAsia" w:ascii="宋体" w:hAnsi="宋体" w:cs="宋体"/>
          <w:b/>
          <w:color w:val="auto"/>
          <w:sz w:val="24"/>
          <w:szCs w:val="24"/>
          <w:highlight w:val="none"/>
        </w:rPr>
        <w:t>一</w:t>
      </w:r>
      <w:r>
        <w:rPr>
          <w:rFonts w:hint="eastAsia" w:ascii="宋体" w:hAnsi="宋体" w:cs="宋体"/>
          <w:color w:val="auto"/>
          <w:sz w:val="24"/>
          <w:szCs w:val="24"/>
          <w:highlight w:val="none"/>
        </w:rPr>
        <w:t>、如无另行说明，</w:t>
      </w:r>
      <w:bookmarkStart w:id="2" w:name="_Hlk123488110"/>
      <w:r>
        <w:rPr>
          <w:rFonts w:hint="eastAsia" w:ascii="宋体" w:hAnsi="宋体" w:cs="宋体"/>
          <w:color w:val="auto"/>
          <w:sz w:val="24"/>
          <w:szCs w:val="24"/>
          <w:highlight w:val="none"/>
        </w:rPr>
        <w:t>响应/响应文件</w:t>
      </w:r>
      <w:bookmarkEnd w:id="2"/>
      <w:r>
        <w:rPr>
          <w:rFonts w:hint="eastAsia" w:ascii="宋体" w:hAnsi="宋体" w:cs="宋体"/>
          <w:color w:val="auto"/>
          <w:sz w:val="24"/>
          <w:szCs w:val="24"/>
          <w:highlight w:val="none"/>
        </w:rPr>
        <w:t>递交时间为投标/响应文件</w:t>
      </w:r>
      <w:r>
        <w:rPr>
          <w:rFonts w:hint="eastAsia" w:ascii="宋体" w:hAnsi="宋体" w:cs="宋体"/>
          <w:b/>
          <w:color w:val="auto"/>
          <w:sz w:val="24"/>
          <w:szCs w:val="24"/>
          <w:highlight w:val="none"/>
          <w:u w:val="single"/>
        </w:rPr>
        <w:t>递交截止时间之前30分钟</w:t>
      </w:r>
      <w:r>
        <w:rPr>
          <w:rFonts w:hint="eastAsia" w:ascii="宋体" w:hAnsi="宋体" w:cs="宋体"/>
          <w:color w:val="auto"/>
          <w:sz w:val="24"/>
          <w:szCs w:val="24"/>
          <w:highlight w:val="none"/>
        </w:rPr>
        <w:t>内。</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二、为避免因迟到而失去响应/报价资格，请</w:t>
      </w:r>
      <w:r>
        <w:rPr>
          <w:rFonts w:hint="eastAsia" w:ascii="宋体" w:hAnsi="宋体" w:cs="宋体"/>
          <w:b/>
          <w:color w:val="auto"/>
          <w:sz w:val="24"/>
          <w:szCs w:val="24"/>
          <w:highlight w:val="none"/>
          <w:u w:val="single"/>
        </w:rPr>
        <w:t>适当提前到达</w:t>
      </w:r>
      <w:r>
        <w:rPr>
          <w:rFonts w:hint="eastAsia" w:ascii="宋体" w:hAnsi="宋体" w:cs="宋体"/>
          <w:color w:val="auto"/>
          <w:sz w:val="24"/>
          <w:szCs w:val="24"/>
          <w:highlight w:val="none"/>
        </w:rPr>
        <w:t>。</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四、投标/响应供应商请务必将保证金按采购文件的要求存入指定的账户，切勿将款项转错账户，以免影响保证金退还的速度。</w:t>
      </w:r>
    </w:p>
    <w:p>
      <w:pPr>
        <w:tabs>
          <w:tab w:val="left" w:pos="851"/>
          <w:tab w:val="left" w:pos="980"/>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五、投标/响应文件格式（第一册、第二册）为通用版，请按采购项目实际需要填写。投标/响应文件应按顺序编制页码。</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六、请仔细检查投标/响应文件是否已按采购文件要求盖章、签名、签署日期。</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七、请正确填写《报价一览表》。多子包项目请仔细检查子包号，子包号与子包名称必须对应。</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九、如投标/响应供应商以非独立法人注册的分公司名义代表总公司盖章和签署文件的，须提供总公司的营业执照副本复印件及总公司针对本项目响应/报价的授权书原件。</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十、以联合体形式响应/报价的，请提交《联合体共同响应协议书》。</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十一、投标/响应供应商为中型、小型、微型企业的，请提交《中小企业声明函》。</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十二、为了提高政府采购效率，节约社会交易成本与时间，我公司希望购买了采购文件而决定不参加本次响应/报价的供应商，在响应/响应文件递交截止时间的3日前，按《响应/报价邀请函》中的联系方式，以书面形式告知集中采购机构。对您的支持与配合，谨此致谢。</w:t>
      </w:r>
    </w:p>
    <w:p>
      <w:pPr>
        <w:tabs>
          <w:tab w:val="left" w:pos="851"/>
        </w:tabs>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十三、响应/报价人如需对项目提出询问或质疑，应按采购文件附件中的询问函和质疑函的格式提交。</w:t>
      </w:r>
    </w:p>
    <w:p>
      <w:pPr>
        <w:spacing w:line="460" w:lineRule="exact"/>
        <w:jc w:val="center"/>
        <w:rPr>
          <w:rFonts w:ascii="宋体" w:hAnsi="宋体" w:cs="宋体"/>
          <w:color w:val="auto"/>
          <w:highlight w:val="none"/>
        </w:rPr>
      </w:pPr>
      <w:r>
        <w:rPr>
          <w:rFonts w:hint="eastAsia" w:ascii="宋体" w:hAnsi="宋体" w:cs="宋体"/>
          <w:color w:val="auto"/>
          <w:spacing w:val="-4"/>
          <w:sz w:val="24"/>
          <w:szCs w:val="24"/>
          <w:highlight w:val="none"/>
        </w:rPr>
        <w:t>（本提示内容非采购文件的组成部分，仅为善意提醒。如有不一致，以采购文件为准）</w:t>
      </w:r>
      <w:r>
        <w:rPr>
          <w:rFonts w:hint="eastAsia" w:ascii="宋体" w:hAnsi="宋体" w:cs="宋体"/>
          <w:color w:val="auto"/>
          <w:highlight w:val="none"/>
        </w:rPr>
        <w:br w:type="page"/>
      </w:r>
      <w:r>
        <w:rPr>
          <w:rFonts w:hint="eastAsia" w:ascii="宋体" w:hAnsi="宋体" w:cs="宋体"/>
          <w:b/>
          <w:color w:val="auto"/>
          <w:sz w:val="24"/>
          <w:szCs w:val="24"/>
          <w:highlight w:val="none"/>
        </w:rPr>
        <w:t>目录</w:t>
      </w:r>
      <w:r>
        <w:rPr>
          <w:rFonts w:hint="eastAsia" w:ascii="宋体" w:hAnsi="宋体" w:cs="宋体"/>
          <w:b/>
          <w:color w:val="auto"/>
          <w:sz w:val="24"/>
          <w:szCs w:val="24"/>
          <w:highlight w:val="none"/>
        </w:rPr>
        <w:fldChar w:fldCharType="begin"/>
      </w:r>
      <w:r>
        <w:rPr>
          <w:rFonts w:hint="eastAsia" w:ascii="宋体" w:hAnsi="宋体" w:cs="宋体"/>
          <w:color w:val="auto"/>
          <w:highlight w:val="none"/>
        </w:rPr>
        <w:instrText xml:space="preserve">TOC \o "1 - 2" \h \z \u"</w:instrText>
      </w:r>
      <w:r>
        <w:rPr>
          <w:rFonts w:hint="eastAsia" w:ascii="宋体" w:hAnsi="宋体" w:cs="宋体"/>
          <w:color w:val="auto"/>
          <w:highlight w:val="none"/>
        </w:rPr>
        <w:fldChar w:fldCharType="separate"/>
      </w:r>
    </w:p>
    <w:p>
      <w:pPr>
        <w:pStyle w:val="9"/>
        <w:tabs>
          <w:tab w:val="right" w:leader="dot" w:pos="9060"/>
        </w:tabs>
        <w:spacing w:before="0" w:after="0"/>
        <w:rPr>
          <w:rFonts w:ascii="宋体" w:hAnsi="宋体" w:cs="宋体"/>
          <w:b w:val="0"/>
          <w:color w:val="auto"/>
          <w:sz w:val="21"/>
          <w:szCs w:val="21"/>
          <w:highlight w:val="none"/>
        </w:rPr>
      </w:pPr>
      <w:r>
        <w:rPr>
          <w:color w:val="auto"/>
          <w:highlight w:val="none"/>
        </w:rPr>
        <w:fldChar w:fldCharType="begin"/>
      </w:r>
      <w:r>
        <w:rPr>
          <w:color w:val="auto"/>
          <w:highlight w:val="none"/>
        </w:rPr>
        <w:instrText xml:space="preserve"> HYPERLINK \l "_Toc123557071" </w:instrText>
      </w:r>
      <w:r>
        <w:rPr>
          <w:color w:val="auto"/>
          <w:highlight w:val="none"/>
        </w:rPr>
        <w:fldChar w:fldCharType="separate"/>
      </w:r>
      <w:r>
        <w:rPr>
          <w:rStyle w:val="15"/>
          <w:rFonts w:hint="eastAsia" w:ascii="宋体" w:hAnsi="宋体" w:cs="宋体"/>
          <w:color w:val="auto"/>
          <w:highlight w:val="none"/>
        </w:rPr>
        <w:t>第一章　磋商邀请</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_Toc123557071\* MERGEFORMAT</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0"/>
        <w:tabs>
          <w:tab w:val="right" w:leader="dot" w:pos="9060"/>
        </w:tabs>
        <w:rPr>
          <w:rFonts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"_Toc123557072" </w:instrText>
      </w:r>
      <w:r>
        <w:rPr>
          <w:color w:val="auto"/>
          <w:highlight w:val="none"/>
        </w:rPr>
        <w:fldChar w:fldCharType="separate"/>
      </w:r>
      <w:r>
        <w:rPr>
          <w:rStyle w:val="15"/>
          <w:rFonts w:hint="eastAsia" w:ascii="宋体" w:hAnsi="宋体" w:cs="宋体"/>
          <w:color w:val="auto"/>
          <w:highlight w:val="none"/>
        </w:rPr>
        <w:t>一.项目概述</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_Toc123557072\* MERGEFORMAT</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0"/>
        <w:tabs>
          <w:tab w:val="right" w:leader="dot" w:pos="9060"/>
        </w:tabs>
        <w:rPr>
          <w:rFonts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"_Toc123557073" </w:instrText>
      </w:r>
      <w:r>
        <w:rPr>
          <w:color w:val="auto"/>
          <w:highlight w:val="none"/>
        </w:rPr>
        <w:fldChar w:fldCharType="separate"/>
      </w:r>
      <w:r>
        <w:rPr>
          <w:rStyle w:val="15"/>
          <w:rFonts w:hint="eastAsia" w:ascii="宋体" w:hAnsi="宋体" w:cs="宋体"/>
          <w:color w:val="auto"/>
          <w:highlight w:val="none"/>
        </w:rPr>
        <w:t>二.供应商的资格要求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_Toc123557073\* MERGEFORMAT</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9"/>
        <w:tabs>
          <w:tab w:val="right" w:leader="dot" w:pos="9060"/>
        </w:tabs>
        <w:spacing w:before="0" w:after="0"/>
        <w:rPr>
          <w:rFonts w:ascii="宋体" w:hAnsi="宋体" w:cs="宋体"/>
          <w:b w:val="0"/>
          <w:color w:val="auto"/>
          <w:sz w:val="21"/>
          <w:szCs w:val="21"/>
          <w:highlight w:val="none"/>
        </w:rPr>
      </w:pPr>
      <w:r>
        <w:rPr>
          <w:color w:val="auto"/>
          <w:highlight w:val="none"/>
        </w:rPr>
        <w:fldChar w:fldCharType="begin"/>
      </w:r>
      <w:r>
        <w:rPr>
          <w:color w:val="auto"/>
          <w:highlight w:val="none"/>
        </w:rPr>
        <w:instrText xml:space="preserve"> HYPERLINK \l "_Toc123557074" </w:instrText>
      </w:r>
      <w:r>
        <w:rPr>
          <w:color w:val="auto"/>
          <w:highlight w:val="none"/>
        </w:rPr>
        <w:fldChar w:fldCharType="separate"/>
      </w:r>
      <w:r>
        <w:rPr>
          <w:rStyle w:val="15"/>
          <w:rFonts w:hint="eastAsia" w:ascii="宋体" w:hAnsi="宋体" w:cs="宋体"/>
          <w:color w:val="auto"/>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_Toc123557074\* MERGEFORMAT</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0"/>
        <w:tabs>
          <w:tab w:val="right" w:leader="dot" w:pos="9060"/>
        </w:tabs>
        <w:rPr>
          <w:rFonts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"_Toc123557075" </w:instrText>
      </w:r>
      <w:r>
        <w:rPr>
          <w:color w:val="auto"/>
          <w:highlight w:val="none"/>
        </w:rPr>
        <w:fldChar w:fldCharType="separate"/>
      </w:r>
      <w:r>
        <w:rPr>
          <w:rStyle w:val="15"/>
          <w:rFonts w:hint="eastAsia" w:ascii="宋体" w:hAnsi="宋体" w:cs="宋体"/>
          <w:color w:val="auto"/>
          <w:highlight w:val="none"/>
        </w:rPr>
        <w:t>一、项目概况：</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_Toc123557075\* MERGEFORMAT</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0"/>
        <w:tabs>
          <w:tab w:val="right" w:leader="dot" w:pos="9060"/>
        </w:tabs>
        <w:rPr>
          <w:rFonts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"_Toc123557076" </w:instrText>
      </w:r>
      <w:r>
        <w:rPr>
          <w:color w:val="auto"/>
          <w:highlight w:val="none"/>
        </w:rPr>
        <w:fldChar w:fldCharType="separate"/>
      </w:r>
      <w:r>
        <w:rPr>
          <w:rStyle w:val="15"/>
          <w:rFonts w:hint="eastAsia" w:ascii="宋体" w:hAnsi="宋体" w:cs="宋体"/>
          <w:color w:val="auto"/>
          <w:highlight w:val="none"/>
        </w:rPr>
        <w:t>二、商务要求：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_Toc123557076\* MERGEFORMAT</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9"/>
        <w:tabs>
          <w:tab w:val="right" w:leader="dot" w:pos="9060"/>
        </w:tabs>
        <w:spacing w:before="0" w:after="0"/>
        <w:rPr>
          <w:rFonts w:ascii="宋体" w:hAnsi="宋体" w:cs="宋体"/>
          <w:b w:val="0"/>
          <w:color w:val="auto"/>
          <w:sz w:val="21"/>
          <w:szCs w:val="21"/>
          <w:highlight w:val="none"/>
        </w:rPr>
      </w:pPr>
      <w:r>
        <w:rPr>
          <w:color w:val="auto"/>
          <w:highlight w:val="none"/>
        </w:rPr>
        <w:fldChar w:fldCharType="begin"/>
      </w:r>
      <w:r>
        <w:rPr>
          <w:color w:val="auto"/>
          <w:highlight w:val="none"/>
        </w:rPr>
        <w:instrText xml:space="preserve"> HYPERLINK \l "_Toc123557077" </w:instrText>
      </w:r>
      <w:r>
        <w:rPr>
          <w:color w:val="auto"/>
          <w:highlight w:val="none"/>
        </w:rPr>
        <w:fldChar w:fldCharType="separate"/>
      </w:r>
      <w:r>
        <w:rPr>
          <w:rStyle w:val="15"/>
          <w:rFonts w:hint="eastAsia" w:ascii="宋体" w:hAnsi="宋体" w:cs="宋体"/>
          <w:color w:val="auto"/>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_Toc123557077\* MERGEFORMAT</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9"/>
        <w:tabs>
          <w:tab w:val="right" w:leader="dot" w:pos="9060"/>
        </w:tabs>
        <w:spacing w:before="0" w:after="0"/>
        <w:rPr>
          <w:rFonts w:ascii="宋体" w:hAnsi="宋体" w:cs="宋体"/>
          <w:b w:val="0"/>
          <w:color w:val="auto"/>
          <w:sz w:val="21"/>
          <w:szCs w:val="21"/>
          <w:highlight w:val="none"/>
        </w:rPr>
      </w:pPr>
      <w:r>
        <w:rPr>
          <w:color w:val="auto"/>
          <w:highlight w:val="none"/>
        </w:rPr>
        <w:fldChar w:fldCharType="begin"/>
      </w:r>
      <w:r>
        <w:rPr>
          <w:color w:val="auto"/>
          <w:highlight w:val="none"/>
        </w:rPr>
        <w:instrText xml:space="preserve"> HYPERLINK \l "_Toc123557078" </w:instrText>
      </w:r>
      <w:r>
        <w:rPr>
          <w:color w:val="auto"/>
          <w:highlight w:val="none"/>
        </w:rPr>
        <w:fldChar w:fldCharType="separate"/>
      </w:r>
      <w:r>
        <w:rPr>
          <w:rStyle w:val="15"/>
          <w:rFonts w:hint="eastAsia" w:ascii="宋体" w:hAnsi="宋体" w:cs="宋体"/>
          <w:color w:val="auto"/>
          <w:highlight w:val="none"/>
        </w:rPr>
        <w:t>第四章 评审</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_Toc123557078\* MERGEFORMAT</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0"/>
        <w:tabs>
          <w:tab w:val="right" w:leader="dot" w:pos="9060"/>
        </w:tabs>
        <w:rPr>
          <w:rFonts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"_Toc123557079" </w:instrText>
      </w:r>
      <w:r>
        <w:rPr>
          <w:color w:val="auto"/>
          <w:highlight w:val="none"/>
        </w:rPr>
        <w:fldChar w:fldCharType="separate"/>
      </w:r>
      <w:r>
        <w:rPr>
          <w:rStyle w:val="15"/>
          <w:rFonts w:hint="eastAsia" w:ascii="宋体" w:hAnsi="宋体" w:cs="宋体"/>
          <w:color w:val="auto"/>
          <w:highlight w:val="none"/>
        </w:rPr>
        <w:t>一、评审要求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_Toc123557079\* MERGEFORMAT</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0"/>
        <w:tabs>
          <w:tab w:val="right" w:leader="dot" w:pos="9060"/>
        </w:tabs>
        <w:rPr>
          <w:rFonts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"_Toc123557080" </w:instrText>
      </w:r>
      <w:r>
        <w:rPr>
          <w:color w:val="auto"/>
          <w:highlight w:val="none"/>
        </w:rPr>
        <w:fldChar w:fldCharType="separate"/>
      </w:r>
      <w:r>
        <w:rPr>
          <w:rStyle w:val="15"/>
          <w:rFonts w:hint="eastAsia" w:ascii="宋体" w:hAnsi="宋体" w:cs="宋体"/>
          <w:color w:val="auto"/>
          <w:highlight w:val="none"/>
        </w:rPr>
        <w:t>二.政府采购政策落实</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_Toc123557080\* MERGEFORMAT</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0"/>
        <w:tabs>
          <w:tab w:val="right" w:leader="dot" w:pos="9060"/>
        </w:tabs>
        <w:rPr>
          <w:rFonts w:ascii="宋体" w:hAnsi="宋体" w:cs="宋体"/>
          <w:smallCaps w:val="0"/>
          <w:color w:val="auto"/>
          <w:sz w:val="21"/>
          <w:szCs w:val="21"/>
          <w:highlight w:val="none"/>
        </w:rPr>
      </w:pPr>
      <w:r>
        <w:rPr>
          <w:color w:val="auto"/>
          <w:highlight w:val="none"/>
        </w:rPr>
        <w:fldChar w:fldCharType="begin"/>
      </w:r>
      <w:r>
        <w:rPr>
          <w:color w:val="auto"/>
          <w:highlight w:val="none"/>
        </w:rPr>
        <w:instrText xml:space="preserve"> HYPERLINK \l "_Toc123557081" </w:instrText>
      </w:r>
      <w:r>
        <w:rPr>
          <w:color w:val="auto"/>
          <w:highlight w:val="none"/>
        </w:rPr>
        <w:fldChar w:fldCharType="separate"/>
      </w:r>
      <w:r>
        <w:rPr>
          <w:rStyle w:val="15"/>
          <w:rFonts w:hint="eastAsia" w:ascii="宋体" w:hAnsi="宋体" w:cs="宋体"/>
          <w:color w:val="auto"/>
          <w:highlight w:val="none"/>
        </w:rPr>
        <w:t>三、评审程序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_Toc123557081\* MERGEFORMAT</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9"/>
        <w:tabs>
          <w:tab w:val="right" w:leader="dot" w:pos="9060"/>
        </w:tabs>
        <w:spacing w:before="0" w:after="0"/>
        <w:rPr>
          <w:rFonts w:ascii="宋体" w:hAnsi="宋体" w:cs="宋体"/>
          <w:b w:val="0"/>
          <w:color w:val="auto"/>
          <w:sz w:val="21"/>
          <w:szCs w:val="21"/>
          <w:highlight w:val="none"/>
        </w:rPr>
      </w:pPr>
      <w:r>
        <w:rPr>
          <w:color w:val="auto"/>
          <w:highlight w:val="none"/>
        </w:rPr>
        <w:fldChar w:fldCharType="begin"/>
      </w:r>
      <w:r>
        <w:rPr>
          <w:color w:val="auto"/>
          <w:highlight w:val="none"/>
        </w:rPr>
        <w:instrText xml:space="preserve"> HYPERLINK \l "_Toc123557082" </w:instrText>
      </w:r>
      <w:r>
        <w:rPr>
          <w:color w:val="auto"/>
          <w:highlight w:val="none"/>
        </w:rPr>
        <w:fldChar w:fldCharType="separate"/>
      </w:r>
      <w:r>
        <w:rPr>
          <w:rStyle w:val="15"/>
          <w:rFonts w:hint="eastAsia" w:ascii="宋体" w:hAnsi="宋体" w:cs="宋体"/>
          <w:color w:val="auto"/>
          <w:highlight w:val="none"/>
        </w:rPr>
        <w:t>第五章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_Toc123557082\* MERGEFORMAT</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9"/>
        <w:tabs>
          <w:tab w:val="right" w:leader="dot" w:pos="9060"/>
        </w:tabs>
        <w:spacing w:before="0" w:after="0"/>
        <w:rPr>
          <w:rFonts w:ascii="宋体" w:hAnsi="宋体" w:cs="宋体"/>
          <w:b w:val="0"/>
          <w:color w:val="auto"/>
          <w:sz w:val="21"/>
          <w:szCs w:val="21"/>
          <w:highlight w:val="none"/>
        </w:rPr>
      </w:pPr>
      <w:r>
        <w:rPr>
          <w:color w:val="auto"/>
          <w:highlight w:val="none"/>
        </w:rPr>
        <w:fldChar w:fldCharType="begin"/>
      </w:r>
      <w:r>
        <w:rPr>
          <w:color w:val="auto"/>
          <w:highlight w:val="none"/>
        </w:rPr>
        <w:instrText xml:space="preserve"> HYPERLINK \l "_Toc123557083" </w:instrText>
      </w:r>
      <w:r>
        <w:rPr>
          <w:color w:val="auto"/>
          <w:highlight w:val="none"/>
        </w:rPr>
        <w:fldChar w:fldCharType="separate"/>
      </w:r>
      <w:r>
        <w:rPr>
          <w:rStyle w:val="15"/>
          <w:rFonts w:hint="eastAsia" w:ascii="宋体" w:hAnsi="宋体" w:cs="宋体"/>
          <w:color w:val="auto"/>
          <w:highlight w:val="none"/>
        </w:rPr>
        <w:t>第六章 响应文件格式与要求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PAGEREF  _Toc123557083\* MERGEFORMAT</w:instrText>
      </w:r>
      <w:r>
        <w:rPr>
          <w:rFonts w:hint="eastAsia" w:ascii="宋体" w:hAnsi="宋体" w:cs="宋体"/>
          <w:color w:val="auto"/>
          <w:highlight w:val="none"/>
        </w:rPr>
        <w:fldChar w:fldCharType="separate"/>
      </w:r>
      <w:r>
        <w:rPr>
          <w:b/>
        </w:rPr>
        <w:t>错误！未定义书签。</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2"/>
        <w:spacing w:before="0" w:after="0" w:line="460" w:lineRule="exact"/>
        <w:ind w:firstLine="482"/>
        <w:jc w:val="center"/>
        <w:rPr>
          <w:rFonts w:ascii="宋体" w:hAnsi="宋体" w:cs="宋体"/>
          <w:b/>
          <w:color w:val="auto"/>
          <w:highlight w:val="none"/>
        </w:rPr>
      </w:pPr>
      <w:r>
        <w:rPr>
          <w:rFonts w:hint="eastAsia" w:ascii="宋体" w:hAnsi="宋体" w:cs="宋体"/>
          <w:b/>
          <w:color w:val="auto"/>
          <w:sz w:val="24"/>
          <w:szCs w:val="24"/>
          <w:highlight w:val="none"/>
        </w:rPr>
        <w:fldChar w:fldCharType="end"/>
      </w:r>
      <w:r>
        <w:rPr>
          <w:rFonts w:hint="eastAsia" w:ascii="宋体" w:hAnsi="宋体" w:cs="宋体"/>
          <w:color w:val="auto"/>
          <w:highlight w:val="none"/>
        </w:rPr>
        <w:br w:type="page"/>
      </w:r>
      <w:bookmarkEnd w:id="0"/>
      <w:bookmarkEnd w:id="1"/>
      <w:bookmarkStart w:id="3" w:name="_Toc328905338"/>
      <w:bookmarkStart w:id="4" w:name="_Toc437007909"/>
    </w:p>
    <w:bookmarkEnd w:id="3"/>
    <w:bookmarkEnd w:id="4"/>
    <w:p>
      <w:pPr>
        <w:spacing w:line="480" w:lineRule="auto"/>
        <w:jc w:val="left"/>
        <w:rPr>
          <w:rFonts w:ascii="宋体" w:hAnsi="宋体" w:cs="宋体"/>
          <w:b/>
          <w:color w:val="auto"/>
          <w:highlight w:val="none"/>
        </w:rPr>
      </w:pPr>
    </w:p>
    <w:p>
      <w:pPr>
        <w:rPr>
          <w:rFonts w:ascii="宋体" w:hAnsi="宋体" w:cs="宋体"/>
          <w:color w:val="auto"/>
          <w:highlight w:val="none"/>
        </w:rPr>
      </w:pPr>
    </w:p>
    <w:p>
      <w:pPr>
        <w:pStyle w:val="2"/>
        <w:spacing w:before="0" w:after="0"/>
        <w:jc w:val="center"/>
        <w:rPr>
          <w:rFonts w:ascii="宋体" w:hAnsi="宋体" w:cs="宋体"/>
          <w:color w:val="auto"/>
          <w:highlight w:val="none"/>
        </w:rPr>
      </w:pPr>
      <w:bookmarkStart w:id="5" w:name="_Toc123557071"/>
      <w:r>
        <w:rPr>
          <w:rFonts w:hint="eastAsia" w:ascii="宋体" w:hAnsi="宋体" w:cs="宋体"/>
          <w:color w:val="auto"/>
          <w:highlight w:val="none"/>
        </w:rPr>
        <w:t>第一章　磋商邀请</w:t>
      </w:r>
      <w:bookmarkEnd w:id="5"/>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广东正联德工程咨询有限公司受</w:t>
      </w:r>
      <w:r>
        <w:rPr>
          <w:rFonts w:hint="eastAsia" w:ascii="宋体" w:hAnsi="宋体" w:cs="宋体"/>
          <w:b/>
          <w:color w:val="auto"/>
          <w:sz w:val="24"/>
          <w:szCs w:val="24"/>
          <w:highlight w:val="none"/>
        </w:rPr>
        <w:t>化州市妇幼保健院</w:t>
      </w:r>
      <w:r>
        <w:rPr>
          <w:rFonts w:hint="eastAsia" w:ascii="宋体" w:hAnsi="宋体" w:cs="宋体"/>
          <w:color w:val="auto"/>
          <w:sz w:val="24"/>
          <w:szCs w:val="24"/>
          <w:highlight w:val="none"/>
        </w:rPr>
        <w:t>的委托，采用竞争性磋商方式组织采购</w:t>
      </w:r>
      <w:r>
        <w:rPr>
          <w:rFonts w:hint="eastAsia" w:ascii="宋体" w:hAnsi="宋体" w:cs="宋体"/>
          <w:b/>
          <w:color w:val="auto"/>
          <w:sz w:val="24"/>
          <w:szCs w:val="24"/>
          <w:highlight w:val="none"/>
        </w:rPr>
        <w:t>化州市妇幼保健院绩效管理体系建设项目</w:t>
      </w:r>
      <w:r>
        <w:rPr>
          <w:rFonts w:hint="eastAsia" w:ascii="宋体" w:hAnsi="宋体" w:cs="宋体"/>
          <w:color w:val="auto"/>
          <w:sz w:val="24"/>
          <w:szCs w:val="24"/>
          <w:highlight w:val="none"/>
        </w:rPr>
        <w:t>。欢迎符合资格条件的供应商参加。</w:t>
      </w:r>
    </w:p>
    <w:p>
      <w:pPr>
        <w:pStyle w:val="3"/>
        <w:spacing w:before="0" w:after="0"/>
        <w:rPr>
          <w:rFonts w:ascii="宋体" w:hAnsi="宋体" w:eastAsia="宋体" w:cs="宋体"/>
          <w:color w:val="auto"/>
          <w:sz w:val="24"/>
          <w:szCs w:val="24"/>
          <w:highlight w:val="none"/>
        </w:rPr>
      </w:pPr>
      <w:bookmarkStart w:id="6" w:name="_Toc123557072"/>
      <w:r>
        <w:rPr>
          <w:rFonts w:hint="eastAsia" w:ascii="宋体" w:hAnsi="宋体" w:eastAsia="宋体" w:cs="宋体"/>
          <w:color w:val="auto"/>
          <w:sz w:val="24"/>
          <w:szCs w:val="24"/>
          <w:highlight w:val="none"/>
        </w:rPr>
        <w:t>一、项目概述</w:t>
      </w:r>
      <w:bookmarkEnd w:id="6"/>
    </w:p>
    <w:p>
      <w:pPr>
        <w:ind w:firstLine="482"/>
        <w:rPr>
          <w:rFonts w:ascii="宋体" w:hAnsi="宋体" w:cs="宋体"/>
          <w:color w:val="auto"/>
          <w:highlight w:val="none"/>
        </w:rPr>
      </w:pPr>
      <w:r>
        <w:rPr>
          <w:rFonts w:hint="eastAsia" w:ascii="宋体" w:hAnsi="宋体" w:cs="宋体"/>
          <w:b/>
          <w:color w:val="auto"/>
          <w:sz w:val="24"/>
          <w:szCs w:val="24"/>
          <w:highlight w:val="none"/>
        </w:rPr>
        <w:t>1.名称与编号</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采购项目名称：化州市妇幼保健院绩效管理体系建设项目</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采购项目编号：ZLD2023-CGC1607</w:t>
      </w:r>
      <w:r>
        <w:rPr>
          <w:rFonts w:hint="eastAsia" w:ascii="宋体" w:hAnsi="宋体" w:cs="宋体"/>
          <w:b/>
          <w:color w:val="auto"/>
          <w:sz w:val="24"/>
          <w:szCs w:val="24"/>
          <w:highlight w:val="none"/>
        </w:rPr>
        <w:t>　</w:t>
      </w:r>
      <w:r>
        <w:rPr>
          <w:rFonts w:hint="eastAsia" w:ascii="宋体" w:hAnsi="宋体" w:cs="宋体"/>
          <w:color w:val="auto"/>
          <w:sz w:val="24"/>
          <w:szCs w:val="24"/>
          <w:highlight w:val="none"/>
        </w:rPr>
        <w:t>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采购方式：竞争性磋商</w:t>
      </w:r>
    </w:p>
    <w:tbl>
      <w:tblPr>
        <w:tblStyle w:val="13"/>
        <w:tblW w:w="92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1418"/>
        <w:gridCol w:w="2551"/>
        <w:gridCol w:w="1525"/>
        <w:gridCol w:w="1325"/>
        <w:gridCol w:w="1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131" w:type="dxa"/>
            <w:tcBorders>
              <w:top w:val="single" w:color="auto" w:sz="2" w:space="0"/>
              <w:left w:val="single" w:color="auto" w:sz="2" w:space="0"/>
              <w:bottom w:val="single" w:color="auto" w:sz="2" w:space="0"/>
              <w:right w:val="single" w:color="auto" w:sz="2" w:space="0"/>
            </w:tcBorders>
            <w:shd w:val="clear" w:color="000000" w:fill="BDD6EE" w:themeFill="accent1" w:themeFillTint="66"/>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品目号</w:t>
            </w:r>
          </w:p>
        </w:tc>
        <w:tc>
          <w:tcPr>
            <w:tcW w:w="1418" w:type="dxa"/>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品目名称</w:t>
            </w:r>
          </w:p>
        </w:tc>
        <w:tc>
          <w:tcPr>
            <w:tcW w:w="2551" w:type="dxa"/>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采购标的</w:t>
            </w:r>
          </w:p>
        </w:tc>
        <w:tc>
          <w:tcPr>
            <w:tcW w:w="1525" w:type="dxa"/>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数量（单位）</w:t>
            </w:r>
          </w:p>
        </w:tc>
        <w:tc>
          <w:tcPr>
            <w:tcW w:w="1325" w:type="dxa"/>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技术规格、参数及要求</w:t>
            </w:r>
          </w:p>
        </w:tc>
        <w:tc>
          <w:tcPr>
            <w:tcW w:w="1325" w:type="dxa"/>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是否允许进口产品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1" w:type="dxa"/>
            <w:tcBorders>
              <w:top w:val="single" w:color="auto" w:sz="2" w:space="0"/>
              <w:left w:val="single" w:color="auto" w:sz="2" w:space="0"/>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1-1</w:t>
            </w:r>
          </w:p>
        </w:tc>
        <w:tc>
          <w:tcPr>
            <w:tcW w:w="1418" w:type="dxa"/>
            <w:tcBorders>
              <w:top w:val="single" w:color="auto" w:sz="2" w:space="0"/>
              <w:left w:val="nil"/>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其他服务</w:t>
            </w:r>
          </w:p>
        </w:tc>
        <w:tc>
          <w:tcPr>
            <w:tcW w:w="2551" w:type="dxa"/>
            <w:tcBorders>
              <w:top w:val="single" w:color="auto" w:sz="2" w:space="0"/>
              <w:left w:val="nil"/>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化州市妇幼保健院绩效管理体系建设项目</w:t>
            </w:r>
          </w:p>
        </w:tc>
        <w:tc>
          <w:tcPr>
            <w:tcW w:w="1525" w:type="dxa"/>
            <w:tcBorders>
              <w:top w:val="single" w:color="auto" w:sz="2" w:space="0"/>
              <w:left w:val="nil"/>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1.0000(项)</w:t>
            </w:r>
          </w:p>
        </w:tc>
        <w:tc>
          <w:tcPr>
            <w:tcW w:w="1325" w:type="dxa"/>
            <w:tcBorders>
              <w:top w:val="single" w:color="auto" w:sz="2" w:space="0"/>
              <w:left w:val="nil"/>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详见第二章</w:t>
            </w:r>
          </w:p>
        </w:tc>
        <w:tc>
          <w:tcPr>
            <w:tcW w:w="1325" w:type="dxa"/>
            <w:tcBorders>
              <w:top w:val="single" w:color="auto" w:sz="2" w:space="0"/>
              <w:left w:val="nil"/>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否</w:t>
            </w:r>
          </w:p>
        </w:tc>
      </w:tr>
    </w:tbl>
    <w:p>
      <w:pPr>
        <w:spacing w:line="360" w:lineRule="auto"/>
        <w:ind w:firstLine="482"/>
        <w:rPr>
          <w:rFonts w:ascii="宋体" w:hAnsi="宋体" w:cs="宋体"/>
          <w:color w:val="auto"/>
          <w:sz w:val="24"/>
          <w:szCs w:val="24"/>
          <w:highlight w:val="none"/>
        </w:rPr>
      </w:pPr>
      <w:bookmarkStart w:id="7" w:name="_Toc123557073"/>
      <w:r>
        <w:rPr>
          <w:rFonts w:hint="eastAsia" w:ascii="宋体" w:hAnsi="宋体" w:cs="宋体"/>
          <w:color w:val="auto"/>
          <w:sz w:val="24"/>
          <w:szCs w:val="24"/>
          <w:highlight w:val="none"/>
        </w:rPr>
        <w:t>本采购包不接受联合体响应</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二、供应商的资格要求</w:t>
      </w:r>
      <w:bookmarkEnd w:id="7"/>
    </w:p>
    <w:p>
      <w:pPr>
        <w:spacing w:line="360" w:lineRule="auto"/>
        <w:ind w:firstLine="482"/>
        <w:rPr>
          <w:rFonts w:ascii="宋体" w:hAnsi="宋体" w:cs="宋体"/>
          <w:color w:val="auto"/>
          <w:highlight w:val="none"/>
        </w:rPr>
      </w:pPr>
      <w:r>
        <w:rPr>
          <w:rFonts w:hint="eastAsia" w:ascii="宋体" w:hAnsi="宋体" w:cs="宋体"/>
          <w:b/>
          <w:color w:val="auto"/>
          <w:sz w:val="24"/>
          <w:szCs w:val="24"/>
          <w:highlight w:val="none"/>
        </w:rPr>
        <w:t>1.供应商应具备《中华人民共和国政府采购法》第二十二条规定的条件，提供下列材料：</w:t>
      </w:r>
    </w:p>
    <w:p>
      <w:pPr>
        <w:tabs>
          <w:tab w:val="left" w:pos="420"/>
        </w:tabs>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 具有独立承担民事责任的能力：在中华人民共和国境内注册的法人或其他组织或自然人， 响应（响应）时提交有效的营业执照（或事业法人登记证或身份证等相关证明） 副本复印件。分支机构响应的，须提供总公司和分公司营业执照副本复印件，总公司出具给分支机构的授权书。</w:t>
      </w:r>
    </w:p>
    <w:p>
      <w:pPr>
        <w:tabs>
          <w:tab w:val="left" w:pos="420"/>
        </w:tabs>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(2)具有良好的商业信誉和健全的财务会计制度：提供</w:t>
      </w:r>
      <w:r>
        <w:rPr>
          <w:rFonts w:hint="eastAsia" w:ascii="宋体" w:hAnsi="宋体" w:cs="宋体"/>
          <w:color w:val="auto"/>
          <w:sz w:val="24"/>
          <w:szCs w:val="24"/>
          <w:highlight w:val="none"/>
        </w:rPr>
        <w:t>2021年度</w:t>
      </w:r>
      <w:r>
        <w:rPr>
          <w:rFonts w:hint="eastAsia" w:ascii="宋体" w:hAnsi="宋体" w:cs="宋体"/>
          <w:color w:val="auto"/>
          <w:sz w:val="24"/>
          <w:szCs w:val="24"/>
          <w:highlight w:val="none"/>
          <w:lang w:val="zh-CN"/>
        </w:rPr>
        <w:t>财务报告（表）或基本开户银行出具的银行资信证明；新成立的企业提供成立至今的财务报告（表）或基本开户银行出具的银行资信证明。</w:t>
      </w:r>
    </w:p>
    <w:p>
      <w:pPr>
        <w:tabs>
          <w:tab w:val="left" w:pos="420"/>
        </w:tabs>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val="zh-CN"/>
        </w:rPr>
        <w:t>履行合同所必须的设备和专业技术能力：提供履行合同所必需的设备和专业技术能力的书面声明或其他证明材料。</w:t>
      </w:r>
    </w:p>
    <w:p>
      <w:pPr>
        <w:tabs>
          <w:tab w:val="left" w:pos="420"/>
        </w:tabs>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(4)有依法缴纳税收和社会保障资金的良好记录：提供</w:t>
      </w:r>
      <w:r>
        <w:rPr>
          <w:rFonts w:hint="eastAsia" w:ascii="宋体" w:hAnsi="宋体" w:cs="宋体"/>
          <w:color w:val="auto"/>
          <w:sz w:val="24"/>
          <w:szCs w:val="24"/>
          <w:highlight w:val="none"/>
        </w:rPr>
        <w:t>响应截止日前6个月内任意1个月的</w:t>
      </w:r>
      <w:r>
        <w:rPr>
          <w:rFonts w:hint="eastAsia" w:ascii="宋体" w:hAnsi="宋体" w:cs="宋体"/>
          <w:color w:val="auto"/>
          <w:sz w:val="24"/>
          <w:szCs w:val="24"/>
          <w:highlight w:val="none"/>
          <w:lang w:val="zh-CN"/>
        </w:rPr>
        <w:t>缴纳税收和社会保险的相关证明材料；如依法免税或不需要缴纳社保的，应提供相应文件证明。</w:t>
      </w:r>
    </w:p>
    <w:p>
      <w:pPr>
        <w:tabs>
          <w:tab w:val="left" w:pos="420"/>
        </w:tabs>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(5)参加采购活动前3年内，在经营活动中没有重大违法记录：参照响应（报价）函相关承诺格式内容。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tabs>
          <w:tab w:val="left" w:pos="420"/>
        </w:tabs>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法律、行政法规规定的其他条件：①为本项目提供整体设计、规范编制或者项目管理、监理、检测等服务的供应商，不得再参与本项目响应：提供书面声明，格式自拟；②单位负责人为同一人或者存在直接控股、管理关系的不同供应商，不得同时参加本采购项目响应（提供书面声明，格式自拟）。</w:t>
      </w:r>
    </w:p>
    <w:p>
      <w:pPr>
        <w:tabs>
          <w:tab w:val="left" w:pos="420"/>
        </w:tabs>
        <w:snapToGrid w:val="0"/>
        <w:spacing w:line="360" w:lineRule="auto"/>
        <w:ind w:firstLine="480"/>
        <w:rPr>
          <w:rFonts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．供应商未被列入“信用中国”网站(www.creditchina.gov.cn)“记录失信被执行人或税收违法</w:t>
      </w:r>
      <w:r>
        <w:rPr>
          <w:rFonts w:hint="eastAsia" w:ascii="宋体" w:hAnsi="宋体" w:cs="宋体"/>
          <w:color w:val="auto"/>
          <w:sz w:val="24"/>
          <w:szCs w:val="24"/>
          <w:highlight w:val="none"/>
        </w:rPr>
        <w:t>失信主体</w:t>
      </w:r>
      <w:r>
        <w:rPr>
          <w:rFonts w:hint="eastAsia" w:ascii="宋体" w:hAnsi="宋体" w:cs="宋体"/>
          <w:color w:val="auto"/>
          <w:sz w:val="24"/>
          <w:szCs w:val="24"/>
          <w:highlight w:val="none"/>
          <w:lang w:val="zh-CN"/>
        </w:rPr>
        <w:t>”记录名单；不处于中国政府采购网(www.ccgp.gov.cn)“政府采购严重违法失信行为信息记录”中的禁止参加政府采购活动期间。（以采购代理机构于响应（响应）截止时间当天在“信用中国”网站（www.creditchina.gov.cn）及中国政府采购网（http://www.ccgp.gov.cn/）查询结果为准，如相关失信记录已失效，供应商需提供相关证明资料）。</w:t>
      </w:r>
    </w:p>
    <w:p>
      <w:pPr>
        <w:tabs>
          <w:tab w:val="left" w:pos="420"/>
        </w:tabs>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3．本项目不接受联合体响应：提供书面承诺函。</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三、购买磋商文件的时间、地点、方式及磋商文件售价</w:t>
      </w:r>
    </w:p>
    <w:p>
      <w:pPr>
        <w:snapToGrid w:val="0"/>
        <w:spacing w:line="360" w:lineRule="auto"/>
        <w:ind w:firstLine="566"/>
        <w:rPr>
          <w:rFonts w:ascii="宋体" w:hAnsi="宋体" w:cs="宋体"/>
          <w:color w:val="auto"/>
          <w:sz w:val="24"/>
          <w:szCs w:val="24"/>
          <w:highlight w:val="none"/>
        </w:rPr>
      </w:pPr>
      <w:r>
        <w:rPr>
          <w:rFonts w:hint="eastAsia" w:ascii="宋体" w:hAnsi="宋体" w:cs="宋体"/>
          <w:color w:val="auto"/>
          <w:sz w:val="24"/>
          <w:szCs w:val="24"/>
          <w:highlight w:val="none"/>
        </w:rPr>
        <w:t>1、符合资格的供应商携带以下资料加盖公章至采购代理机构现场报名获取磋商文件：</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（1）企业营业执照副本（三证合一或五证合一）或事业单位法人证书； </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（2）法定代表人证明书（原件）或授权委托书（原件）（授权书须包括法人证明书）；</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（3）法定代表人及授权人身份证复印件；</w:t>
      </w:r>
    </w:p>
    <w:p>
      <w:pPr>
        <w:pStyle w:val="12"/>
        <w:snapToGrid w:val="0"/>
        <w:spacing w:before="0" w:after="0" w:line="360" w:lineRule="auto"/>
        <w:ind w:firstLine="480"/>
        <w:jc w:val="both"/>
        <w:rPr>
          <w:color w:val="auto"/>
          <w:highlight w:val="none"/>
        </w:rPr>
      </w:pPr>
      <w:r>
        <w:rPr>
          <w:rFonts w:hint="eastAsia"/>
          <w:color w:val="auto"/>
          <w:highlight w:val="none"/>
        </w:rPr>
        <w:t>（以上资料，（2）为原件，（1）、（3）为加盖领购单位公章的复印件，领购磋商文件时须提供本人身份证原件核对，采购代理机构对响应供应商提交的身份证原件及证明材料核对，不代表其磋商资格的确认。磋商资格最终根据响应供应商磋商文件中的资格审查资料作出的结论为准）</w:t>
      </w:r>
    </w:p>
    <w:p>
      <w:pPr>
        <w:pStyle w:val="12"/>
        <w:snapToGrid w:val="0"/>
        <w:spacing w:before="0" w:after="0" w:line="360" w:lineRule="auto"/>
        <w:ind w:left="636"/>
        <w:jc w:val="both"/>
        <w:rPr>
          <w:color w:val="auto"/>
          <w:highlight w:val="none"/>
        </w:rPr>
      </w:pPr>
      <w:r>
        <w:rPr>
          <w:rFonts w:hint="eastAsia"/>
          <w:color w:val="auto"/>
          <w:highlight w:val="none"/>
        </w:rPr>
        <w:t>2、购买磋商文件时间：2023年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10</w:t>
      </w:r>
      <w:r>
        <w:rPr>
          <w:rFonts w:hint="eastAsia"/>
          <w:color w:val="auto"/>
          <w:highlight w:val="none"/>
        </w:rPr>
        <w:t>日至2023年2月</w:t>
      </w:r>
      <w:r>
        <w:rPr>
          <w:rFonts w:hint="eastAsia"/>
          <w:color w:val="auto"/>
          <w:highlight w:val="none"/>
          <w:lang w:val="en-US" w:eastAsia="zh-CN"/>
        </w:rPr>
        <w:t>17</w:t>
      </w:r>
      <w:r>
        <w:rPr>
          <w:rFonts w:hint="eastAsia"/>
          <w:color w:val="auto"/>
          <w:highlight w:val="none"/>
        </w:rPr>
        <w:t>日，上午9:00～12:00，下午2:30～5:30（节假日除外）（北京时间）。</w:t>
      </w:r>
    </w:p>
    <w:p>
      <w:pPr>
        <w:snapToGrid w:val="0"/>
        <w:spacing w:line="360" w:lineRule="auto"/>
        <w:ind w:left="441" w:leftChars="210" w:firstLine="480"/>
        <w:rPr>
          <w:rFonts w:ascii="宋体" w:hAnsi="宋体" w:cs="宋体"/>
          <w:color w:val="auto"/>
          <w:sz w:val="24"/>
          <w:szCs w:val="24"/>
          <w:highlight w:val="none"/>
        </w:rPr>
      </w:pPr>
      <w:r>
        <w:rPr>
          <w:rFonts w:hint="eastAsia" w:ascii="宋体" w:hAnsi="宋体" w:cs="宋体"/>
          <w:color w:val="auto"/>
          <w:sz w:val="24"/>
          <w:szCs w:val="24"/>
          <w:highlight w:val="none"/>
        </w:rPr>
        <w:t>3、购买磋商文件地点：茂名市福华路49号501房。</w:t>
      </w:r>
    </w:p>
    <w:p>
      <w:pPr>
        <w:snapToGrid w:val="0"/>
        <w:spacing w:line="360" w:lineRule="auto"/>
        <w:ind w:left="441" w:leftChars="210" w:firstLine="480"/>
        <w:rPr>
          <w:rFonts w:ascii="宋体" w:hAnsi="宋体" w:cs="宋体"/>
          <w:color w:val="auto"/>
          <w:sz w:val="24"/>
          <w:szCs w:val="24"/>
          <w:highlight w:val="none"/>
        </w:rPr>
      </w:pPr>
      <w:r>
        <w:rPr>
          <w:rFonts w:hint="eastAsia" w:ascii="宋体" w:hAnsi="宋体" w:cs="宋体"/>
          <w:color w:val="auto"/>
          <w:sz w:val="24"/>
          <w:szCs w:val="24"/>
          <w:highlight w:val="none"/>
        </w:rPr>
        <w:t>4、磋商文件售价：磋商文件每套人民币</w:t>
      </w:r>
      <w:r>
        <w:rPr>
          <w:rFonts w:ascii="宋体" w:hAnsi="宋体" w:cs="宋体"/>
          <w:color w:val="auto"/>
          <w:sz w:val="24"/>
          <w:szCs w:val="24"/>
          <w:highlight w:val="none"/>
        </w:rPr>
        <w:t>300元，售后不退</w:t>
      </w:r>
      <w:r>
        <w:rPr>
          <w:rFonts w:hint="eastAsia" w:ascii="宋体" w:hAnsi="宋体" w:cs="宋体"/>
          <w:color w:val="auto"/>
          <w:sz w:val="24"/>
          <w:szCs w:val="24"/>
          <w:highlight w:val="none"/>
        </w:rPr>
        <w:t>。</w:t>
      </w:r>
    </w:p>
    <w:p>
      <w:pPr>
        <w:snapToGrid w:val="0"/>
        <w:spacing w:line="360" w:lineRule="auto"/>
        <w:ind w:left="882" w:leftChars="420" w:firstLine="240"/>
        <w:rPr>
          <w:rFonts w:ascii="宋体" w:hAnsi="宋体" w:cs="宋体"/>
          <w:color w:val="auto"/>
          <w:sz w:val="24"/>
          <w:szCs w:val="24"/>
          <w:highlight w:val="none"/>
        </w:rPr>
      </w:pPr>
      <w:r>
        <w:rPr>
          <w:rFonts w:hint="eastAsia" w:ascii="宋体" w:hAnsi="宋体" w:cs="宋体"/>
          <w:color w:val="auto"/>
          <w:sz w:val="24"/>
          <w:szCs w:val="24"/>
          <w:highlight w:val="none"/>
        </w:rPr>
        <w:t>5、磋商文件获取方式：现场发售。</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四、现场踏勘(答疑会)时间、地点</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本次项目不举行集中踏勘。</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五、磋商截止时间</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2023年2月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时30分(注：</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 xml:space="preserve">:00开始受理响应文件) </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六、提交磋商文件地点</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茂名市福华路49号501房广东正联德工程咨询有限公司</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七、磋商时间</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2023年2月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时30分（北京时间）；</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八、磋商地点</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茂名市福华路49号601房广东正联德工程咨询有限公司开标室； </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九、本公告公示期限</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自2023年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日至2023年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日止。根据《广东省实施〈中华人民共和国政府采购法〉办法》第三十五条的规定，供应商认为政府采购文件的内容损害其权益的，可以在公示期间或者自期满之日起七个工作日内以书面形式向采购人或代理采购机构提出质疑。质疑函应当由质疑响应供应商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 </w:t>
      </w:r>
    </w:p>
    <w:p>
      <w:pPr>
        <w:pStyle w:val="3"/>
        <w:spacing w:before="0" w:after="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十、公告信息查询</w:t>
      </w:r>
    </w:p>
    <w:p>
      <w:pPr>
        <w:pStyle w:val="17"/>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公告信息会在采购代理机构网站（http://www.gdzld.top/）上公布，并视为有效送达，不再另行通知。有关此次采购事宜，也可按下列地址以书面或电话形式查询：</w:t>
      </w:r>
    </w:p>
    <w:tbl>
      <w:tblPr>
        <w:tblStyle w:val="13"/>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9"/>
        <w:gridCol w:w="4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439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采购代理机构：广东正联德工程咨询有限公司</w:t>
            </w:r>
          </w:p>
        </w:tc>
        <w:tc>
          <w:tcPr>
            <w:tcW w:w="4679" w:type="dxa"/>
            <w:tcBorders>
              <w:top w:val="single" w:color="auto" w:sz="4" w:space="0"/>
              <w:left w:val="nil"/>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采购人：化州市妇幼保健院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39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联系人：郑小姐</w:t>
            </w:r>
          </w:p>
        </w:tc>
        <w:tc>
          <w:tcPr>
            <w:tcW w:w="4679" w:type="dxa"/>
            <w:tcBorders>
              <w:top w:val="single" w:color="auto" w:sz="4" w:space="0"/>
              <w:left w:val="nil"/>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 xml:space="preserve">联系人：杨生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439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电话：0668－3366608</w:t>
            </w:r>
          </w:p>
        </w:tc>
        <w:tc>
          <w:tcPr>
            <w:tcW w:w="4679" w:type="dxa"/>
            <w:tcBorders>
              <w:top w:val="single" w:color="auto" w:sz="4" w:space="0"/>
              <w:left w:val="nil"/>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 xml:space="preserve">电话：   </w:t>
            </w:r>
            <w:r>
              <w:rPr>
                <w:rFonts w:hint="eastAsia" w:ascii="Times New Roman" w:hAnsi="Times New Roman" w:cs="Times New Roman"/>
                <w:color w:val="auto"/>
                <w:highlight w:val="none"/>
              </w:rPr>
              <w:t>0668-7222968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39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 xml:space="preserve">传真：0668－3366608 </w:t>
            </w:r>
          </w:p>
        </w:tc>
        <w:tc>
          <w:tcPr>
            <w:tcW w:w="4679" w:type="dxa"/>
            <w:tcBorders>
              <w:top w:val="single" w:color="auto" w:sz="4" w:space="0"/>
              <w:left w:val="nil"/>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传真：　</w:t>
            </w:r>
            <w:r>
              <w:rPr>
                <w:rFonts w:hint="eastAsia" w:ascii="Times New Roman" w:hAnsi="Times New Roman" w:cs="Times New Roman"/>
                <w:color w:val="auto"/>
                <w:highlight w:val="none"/>
              </w:rPr>
              <w:t>0668-7222968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439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ind w:left="1050" w:hanging="1050"/>
              <w:rPr>
                <w:rFonts w:ascii="宋体" w:hAnsi="宋体" w:cs="宋体"/>
                <w:color w:val="auto"/>
                <w:highlight w:val="none"/>
              </w:rPr>
            </w:pPr>
            <w:r>
              <w:rPr>
                <w:rFonts w:hint="eastAsia" w:ascii="宋体" w:hAnsi="宋体" w:cs="宋体"/>
                <w:color w:val="auto"/>
                <w:highlight w:val="none"/>
              </w:rPr>
              <w:t>联系地址：茂名市福华路49号501房 </w:t>
            </w:r>
          </w:p>
        </w:tc>
        <w:tc>
          <w:tcPr>
            <w:tcW w:w="4679" w:type="dxa"/>
            <w:tcBorders>
              <w:top w:val="single" w:color="auto" w:sz="4" w:space="0"/>
              <w:left w:val="nil"/>
              <w:bottom w:val="single" w:color="auto" w:sz="4" w:space="0"/>
              <w:right w:val="single" w:color="auto" w:sz="4" w:space="0"/>
            </w:tcBorders>
            <w:tcMar>
              <w:left w:w="108" w:type="dxa"/>
              <w:right w:w="108" w:type="dxa"/>
            </w:tcMar>
            <w:vAlign w:val="center"/>
          </w:tcPr>
          <w:p>
            <w:pPr>
              <w:spacing w:line="280" w:lineRule="exact"/>
              <w:ind w:left="1050" w:hanging="1050" w:hangingChars="500"/>
              <w:rPr>
                <w:rFonts w:ascii="Times New Roman" w:hAnsi="Times New Roman" w:cs="Times New Roman"/>
                <w:color w:val="auto"/>
                <w:highlight w:val="none"/>
              </w:rPr>
            </w:pPr>
            <w:r>
              <w:rPr>
                <w:rFonts w:ascii="Times New Roman" w:hAnsi="Times New Roman" w:cs="Times New Roman"/>
                <w:color w:val="auto"/>
                <w:highlight w:val="none"/>
              </w:rPr>
              <w:t>联系地址：</w:t>
            </w:r>
            <w:r>
              <w:rPr>
                <w:rFonts w:hint="eastAsia" w:ascii="Times New Roman" w:hAnsi="Times New Roman" w:cs="Times New Roman"/>
                <w:color w:val="auto"/>
                <w:highlight w:val="none"/>
              </w:rPr>
              <w:t>化州市北岸瓜垌开发区妇幼保健院</w:t>
            </w:r>
            <w:r>
              <w:rPr>
                <w:rFonts w:ascii="Times New Roman" w:hAnsi="Times New Roman"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39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 xml:space="preserve">邮编：525000 </w:t>
            </w:r>
          </w:p>
        </w:tc>
        <w:tc>
          <w:tcPr>
            <w:tcW w:w="4679" w:type="dxa"/>
            <w:tcBorders>
              <w:top w:val="single" w:color="auto" w:sz="4" w:space="0"/>
              <w:left w:val="nil"/>
              <w:bottom w:val="single" w:color="auto" w:sz="4" w:space="0"/>
              <w:right w:val="single" w:color="auto" w:sz="4" w:space="0"/>
            </w:tcBorders>
            <w:tcMar>
              <w:left w:w="108" w:type="dxa"/>
              <w:right w:w="108" w:type="dxa"/>
            </w:tcMar>
            <w:vAlign w:val="center"/>
          </w:tcPr>
          <w:p>
            <w:pPr>
              <w:spacing w:line="280" w:lineRule="exact"/>
              <w:rPr>
                <w:rFonts w:ascii="Times New Roman" w:hAnsi="Times New Roman" w:cs="Times New Roman"/>
                <w:color w:val="auto"/>
                <w:highlight w:val="none"/>
              </w:rPr>
            </w:pPr>
            <w:r>
              <w:rPr>
                <w:rFonts w:ascii="Times New Roman" w:hAnsi="Times New Roman" w:cs="Times New Roman"/>
                <w:color w:val="auto"/>
                <w:highlight w:val="none"/>
              </w:rPr>
              <w:t>邮编：</w:t>
            </w:r>
            <w:r>
              <w:rPr>
                <w:rFonts w:hint="eastAsia" w:ascii="Times New Roman" w:hAnsi="Times New Roman" w:cs="Times New Roman"/>
                <w:color w:val="auto"/>
                <w:highlight w:val="none"/>
              </w:rPr>
              <w:t>5</w:t>
            </w:r>
            <w:r>
              <w:rPr>
                <w:rFonts w:ascii="Times New Roman" w:hAnsi="Times New Roman" w:cs="Times New Roman"/>
                <w:color w:val="auto"/>
                <w:highlight w:val="none"/>
              </w:rPr>
              <w:t>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39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邮箱：ZLD20200221@163.com</w:t>
            </w:r>
          </w:p>
        </w:tc>
        <w:tc>
          <w:tcPr>
            <w:tcW w:w="4679" w:type="dxa"/>
            <w:tcBorders>
              <w:top w:val="single" w:color="auto" w:sz="4" w:space="0"/>
              <w:left w:val="nil"/>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color w:val="auto"/>
                <w:highlight w:val="none"/>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07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240" w:lineRule="exact"/>
              <w:rPr>
                <w:rFonts w:ascii="宋体" w:hAnsi="宋体" w:cs="宋体"/>
                <w:color w:val="auto"/>
                <w:highlight w:val="none"/>
              </w:rPr>
            </w:pPr>
            <w:r>
              <w:rPr>
                <w:rFonts w:hint="eastAsia" w:ascii="宋体" w:hAnsi="宋体" w:cs="宋体"/>
                <w:b/>
                <w:color w:val="auto"/>
                <w:highlight w:val="none"/>
              </w:rPr>
              <w:t>采购信息查询</w:t>
            </w:r>
            <w:r>
              <w:rPr>
                <w:rFonts w:hint="eastAsia" w:ascii="宋体" w:hAnsi="宋体" w:cs="宋体"/>
                <w:color w:val="auto"/>
                <w:highlight w:val="none"/>
              </w:rPr>
              <w:t>：http://gdzld.xjz18.80data.net/（广东正联德工程咨询有限公司）</w:t>
            </w:r>
          </w:p>
        </w:tc>
      </w:tr>
    </w:tbl>
    <w:p>
      <w:pPr>
        <w:pStyle w:val="17"/>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7"/>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ind w:firstLine="5971"/>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ind w:firstLine="5040"/>
        <w:rPr>
          <w:rFonts w:ascii="宋体" w:hAnsi="宋体" w:cs="宋体"/>
          <w:color w:val="auto"/>
          <w:sz w:val="24"/>
          <w:szCs w:val="24"/>
          <w:highlight w:val="none"/>
        </w:rPr>
      </w:pPr>
      <w:r>
        <w:rPr>
          <w:rFonts w:hint="eastAsia" w:ascii="宋体" w:hAnsi="宋体" w:cs="宋体"/>
          <w:color w:val="auto"/>
          <w:sz w:val="24"/>
          <w:szCs w:val="24"/>
          <w:highlight w:val="none"/>
        </w:rPr>
        <w:t>广东正联德工程咨询有限公司</w:t>
      </w:r>
    </w:p>
    <w:p>
      <w:pPr>
        <w:ind w:firstLine="5520"/>
        <w:rPr>
          <w:rFonts w:ascii="宋体" w:hAnsi="宋体" w:cs="宋体"/>
          <w:color w:val="auto"/>
          <w:highlight w:val="none"/>
        </w:rPr>
      </w:pPr>
      <w:r>
        <w:rPr>
          <w:rFonts w:hint="eastAsia" w:ascii="宋体" w:hAnsi="宋体" w:cs="宋体"/>
          <w:color w:val="auto"/>
          <w:sz w:val="24"/>
          <w:szCs w:val="24"/>
          <w:highlight w:val="none"/>
        </w:rPr>
        <w:t>2023年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 xml:space="preserve"> 日</w:t>
      </w:r>
    </w:p>
    <w:p>
      <w:pPr>
        <w:tabs>
          <w:tab w:val="left" w:pos="420"/>
        </w:tabs>
        <w:snapToGrid w:val="0"/>
        <w:spacing w:line="360" w:lineRule="auto"/>
        <w:ind w:firstLine="480"/>
        <w:rPr>
          <w:rFonts w:ascii="宋体" w:hAnsi="宋体" w:cs="宋体"/>
          <w:color w:val="auto"/>
          <w:sz w:val="24"/>
          <w:szCs w:val="24"/>
          <w:highlight w:val="none"/>
        </w:rPr>
      </w:pPr>
    </w:p>
    <w:p>
      <w:pPr>
        <w:ind w:firstLine="480"/>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w:t>
      </w:r>
    </w:p>
    <w:p>
      <w:pPr>
        <w:jc w:val="left"/>
        <w:rPr>
          <w:rFonts w:ascii="宋体" w:hAnsi="宋体" w:cs="宋体"/>
          <w:b/>
          <w:color w:val="auto"/>
          <w:sz w:val="36"/>
          <w:szCs w:val="36"/>
          <w:highlight w:val="none"/>
        </w:rPr>
      </w:pPr>
      <w:r>
        <w:rPr>
          <w:rFonts w:hint="eastAsia" w:ascii="宋体" w:hAnsi="宋体" w:cs="宋体"/>
          <w:color w:val="auto"/>
          <w:highlight w:val="none"/>
        </w:rPr>
        <w:br w:type="page"/>
      </w:r>
    </w:p>
    <w:p>
      <w:pPr>
        <w:pStyle w:val="2"/>
        <w:spacing w:before="0" w:after="0"/>
        <w:jc w:val="center"/>
        <w:rPr>
          <w:rFonts w:ascii="宋体" w:hAnsi="宋体" w:cs="宋体"/>
          <w:color w:val="auto"/>
          <w:highlight w:val="none"/>
        </w:rPr>
      </w:pPr>
      <w:bookmarkStart w:id="8" w:name="_Toc123557074"/>
      <w:r>
        <w:rPr>
          <w:rFonts w:hint="eastAsia" w:ascii="宋体" w:hAnsi="宋体" w:cs="宋体"/>
          <w:color w:val="auto"/>
          <w:highlight w:val="none"/>
        </w:rPr>
        <w:t>第二章 采购需求</w:t>
      </w:r>
      <w:bookmarkEnd w:id="8"/>
    </w:p>
    <w:p>
      <w:pPr>
        <w:pStyle w:val="3"/>
        <w:spacing w:before="0" w:after="0" w:line="360" w:lineRule="auto"/>
        <w:rPr>
          <w:rFonts w:ascii="宋体" w:hAnsi="宋体" w:eastAsia="宋体" w:cs="宋体"/>
          <w:color w:val="auto"/>
          <w:sz w:val="28"/>
          <w:szCs w:val="28"/>
          <w:highlight w:val="none"/>
        </w:rPr>
      </w:pPr>
      <w:bookmarkStart w:id="9" w:name="_Toc123557075"/>
      <w:r>
        <w:rPr>
          <w:rFonts w:hint="eastAsia" w:ascii="宋体" w:hAnsi="宋体" w:eastAsia="宋体" w:cs="宋体"/>
          <w:color w:val="auto"/>
          <w:sz w:val="28"/>
          <w:szCs w:val="28"/>
          <w:highlight w:val="none"/>
        </w:rPr>
        <w:t>一、项目概况：</w:t>
      </w:r>
      <w:bookmarkEnd w:id="9"/>
    </w:p>
    <w:p>
      <w:pPr>
        <w:pStyle w:val="4"/>
        <w:spacing w:before="0" w:after="0" w:line="360" w:lineRule="auto"/>
        <w:ind w:firstLine="281"/>
        <w:rPr>
          <w:rFonts w:ascii="宋体" w:hAnsi="宋体" w:cs="宋体"/>
          <w:color w:val="auto"/>
          <w:sz w:val="28"/>
          <w:szCs w:val="28"/>
          <w:highlight w:val="none"/>
        </w:rPr>
      </w:pPr>
      <w:r>
        <w:rPr>
          <w:rFonts w:hint="eastAsia" w:ascii="宋体" w:hAnsi="宋体" w:cs="宋体"/>
          <w:color w:val="auto"/>
          <w:sz w:val="28"/>
          <w:szCs w:val="28"/>
          <w:highlight w:val="none"/>
        </w:rPr>
        <w:t>（一）说明</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1.采购人需求书中打“★”号条款为实质性条款，供应商如有任何一条不响应则导致响应无效。</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2.供应商须对采购标的进行整体报价，不允许只对其中一部分内容进行选择性报价，否则被视为无效报价。</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3.本需求中提出的技术、质量标准，服务要求仅为参考，供应商可以进行优化，提供满足用户实际需要的更优（或者服务实质上不低于的）技术、质量标准，服务要求。本需求未列出参数偏差范围值的，范围值则按照行业标准。</w:t>
      </w:r>
    </w:p>
    <w:p>
      <w:pPr>
        <w:pStyle w:val="4"/>
        <w:spacing w:before="0" w:after="0" w:line="360" w:lineRule="auto"/>
        <w:ind w:firstLine="281"/>
        <w:rPr>
          <w:rFonts w:ascii="宋体" w:hAnsi="宋体" w:cs="宋体"/>
          <w:color w:val="auto"/>
          <w:sz w:val="28"/>
          <w:szCs w:val="28"/>
          <w:highlight w:val="none"/>
        </w:rPr>
      </w:pPr>
      <w:r>
        <w:rPr>
          <w:rFonts w:hint="eastAsia" w:ascii="宋体" w:hAnsi="宋体" w:cs="宋体"/>
          <w:color w:val="auto"/>
          <w:sz w:val="28"/>
          <w:szCs w:val="28"/>
          <w:highlight w:val="none"/>
        </w:rPr>
        <w:t xml:space="preserve">（二）采购内容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项目标的及采购限价</w:t>
      </w:r>
    </w:p>
    <w:tbl>
      <w:tblPr>
        <w:tblStyle w:val="13"/>
        <w:tblW w:w="9334" w:type="dxa"/>
        <w:jc w:val="center"/>
        <w:tblLayout w:type="fixed"/>
        <w:tblCellMar>
          <w:top w:w="0" w:type="dxa"/>
          <w:left w:w="0" w:type="dxa"/>
          <w:bottom w:w="0" w:type="dxa"/>
          <w:right w:w="0" w:type="dxa"/>
        </w:tblCellMar>
      </w:tblPr>
      <w:tblGrid>
        <w:gridCol w:w="3823"/>
        <w:gridCol w:w="1802"/>
        <w:gridCol w:w="3709"/>
      </w:tblGrid>
      <w:tr>
        <w:tblPrEx>
          <w:tblCellMar>
            <w:top w:w="0" w:type="dxa"/>
            <w:left w:w="0" w:type="dxa"/>
            <w:bottom w:w="0" w:type="dxa"/>
            <w:right w:w="0" w:type="dxa"/>
          </w:tblCellMar>
        </w:tblPrEx>
        <w:trPr>
          <w:trHeight w:val="375" w:hRule="atLeast"/>
          <w:jc w:val="center"/>
        </w:trPr>
        <w:tc>
          <w:tcPr>
            <w:tcW w:w="3823" w:type="dxa"/>
            <w:tcBorders>
              <w:top w:val="single" w:color="000000" w:sz="4" w:space="0"/>
              <w:left w:val="single" w:color="000000" w:sz="4" w:space="0"/>
              <w:bottom w:val="single" w:color="000000" w:sz="4" w:space="0"/>
              <w:right w:val="single" w:color="000000" w:sz="4" w:space="0"/>
            </w:tcBorders>
            <w:shd w:val="clear" w:color="000000" w:fill="BDD6EE" w:themeFill="accent1" w:themeFillTint="66"/>
            <w:tcMar>
              <w:left w:w="108" w:type="dxa"/>
              <w:right w:w="108" w:type="dxa"/>
            </w:tcMa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1802" w:type="dxa"/>
            <w:tcBorders>
              <w:top w:val="single" w:color="000000" w:sz="4" w:space="0"/>
              <w:left w:val="nil"/>
              <w:bottom w:val="single" w:color="000000" w:sz="4" w:space="0"/>
              <w:right w:val="single" w:color="000000" w:sz="4" w:space="0"/>
            </w:tcBorders>
            <w:shd w:val="clear" w:color="000000" w:fill="BDD6EE" w:themeFill="accent1" w:themeFillTint="66"/>
            <w:tcMar>
              <w:left w:w="108" w:type="dxa"/>
              <w:right w:w="108" w:type="dxa"/>
            </w:tcMa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3709" w:type="dxa"/>
            <w:tcBorders>
              <w:top w:val="single" w:color="000000" w:sz="4" w:space="0"/>
              <w:left w:val="nil"/>
              <w:bottom w:val="single" w:color="000000" w:sz="4" w:space="0"/>
              <w:right w:val="single" w:color="000000" w:sz="4" w:space="0"/>
            </w:tcBorders>
            <w:shd w:val="clear" w:color="000000" w:fill="BDD6EE" w:themeFill="accent1" w:themeFillTint="66"/>
            <w:tcMar>
              <w:left w:w="108" w:type="dxa"/>
              <w:right w:w="108" w:type="dxa"/>
            </w:tcMa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最高限价（人民币）</w:t>
            </w:r>
          </w:p>
        </w:tc>
      </w:tr>
      <w:tr>
        <w:tblPrEx>
          <w:tblCellMar>
            <w:top w:w="0" w:type="dxa"/>
            <w:left w:w="0" w:type="dxa"/>
            <w:bottom w:w="0" w:type="dxa"/>
            <w:right w:w="0" w:type="dxa"/>
          </w:tblCellMar>
        </w:tblPrEx>
        <w:trPr>
          <w:trHeight w:val="367" w:hRule="atLeast"/>
          <w:jc w:val="center"/>
        </w:trPr>
        <w:tc>
          <w:tcPr>
            <w:tcW w:w="3823" w:type="dxa"/>
            <w:tcBorders>
              <w:top w:val="nil"/>
              <w:left w:val="single" w:color="000000" w:sz="4" w:space="0"/>
              <w:bottom w:val="single" w:color="000000" w:sz="4" w:space="0"/>
              <w:right w:val="single" w:color="000000" w:sz="4" w:space="0"/>
            </w:tcBorders>
            <w:tcMar>
              <w:left w:w="108" w:type="dxa"/>
              <w:right w:w="108" w:type="dxa"/>
            </w:tcMa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绩效管理体系建设</w:t>
            </w:r>
          </w:p>
        </w:tc>
        <w:tc>
          <w:tcPr>
            <w:tcW w:w="1802" w:type="dxa"/>
            <w:tcBorders>
              <w:top w:val="nil"/>
              <w:left w:val="nil"/>
              <w:bottom w:val="single" w:color="000000" w:sz="4" w:space="0"/>
              <w:right w:val="single" w:color="000000" w:sz="4" w:space="0"/>
            </w:tcBorders>
            <w:tcMar>
              <w:left w:w="108" w:type="dxa"/>
              <w:right w:w="108" w:type="dxa"/>
            </w:tcMa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1项</w:t>
            </w:r>
          </w:p>
        </w:tc>
        <w:tc>
          <w:tcPr>
            <w:tcW w:w="3709" w:type="dxa"/>
            <w:tcBorders>
              <w:top w:val="nil"/>
              <w:left w:val="nil"/>
              <w:bottom w:val="single" w:color="000000" w:sz="4" w:space="0"/>
              <w:right w:val="single" w:color="000000" w:sz="4" w:space="0"/>
            </w:tcBorders>
            <w:tcMar>
              <w:left w:w="108" w:type="dxa"/>
              <w:right w:w="108" w:type="dxa"/>
            </w:tcMa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35.8万</w:t>
            </w:r>
          </w:p>
        </w:tc>
      </w:tr>
    </w:tbl>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详细技术规范请参阅文件中的采购需求。供应商必须对所投项目内全部采购内容进行响应，如有缺漏，将导致响应无效。如响应报价超出最高限价，将导致响应无效。本项目采购本国服务。</w:t>
      </w:r>
      <w:bookmarkStart w:id="10" w:name="_Toc123557076"/>
      <w:r>
        <w:rPr>
          <w:rFonts w:hint="eastAsia" w:ascii="宋体" w:hAnsi="宋体" w:cs="宋体"/>
          <w:color w:val="auto"/>
          <w:sz w:val="24"/>
          <w:szCs w:val="24"/>
          <w:highlight w:val="none"/>
        </w:rPr>
        <w:t>费用包含服务费、培训费、税金、交通食宿费等因履行本项目产生的一切费用。</w:t>
      </w:r>
    </w:p>
    <w:p>
      <w:pPr>
        <w:pStyle w:val="4"/>
        <w:spacing w:before="0" w:after="0" w:line="360" w:lineRule="auto"/>
        <w:ind w:firstLine="281"/>
        <w:rPr>
          <w:rFonts w:ascii="宋体" w:hAnsi="宋体" w:cs="宋体"/>
          <w:color w:val="auto"/>
          <w:sz w:val="28"/>
          <w:szCs w:val="28"/>
          <w:highlight w:val="none"/>
        </w:rPr>
      </w:pPr>
      <w:r>
        <w:rPr>
          <w:rFonts w:hint="eastAsia" w:ascii="宋体" w:hAnsi="宋体" w:cs="宋体"/>
          <w:color w:val="auto"/>
          <w:sz w:val="28"/>
          <w:szCs w:val="28"/>
          <w:highlight w:val="none"/>
        </w:rPr>
        <w:t>（三）项目概述</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贯彻国家深化医改精神，与医院携手共进，调整医院经营理念和模式、优化医院绩效工资分配激励机制和考核机制，按照国家、省、市相关医改文件和医保支付方式，建立有责任、有激励、有约束、有竞争、有活力的医院经营机制和激励机制，向临床一线岗位倾斜，体现多劳多得，优绩优酬，充分调动职工工作积极性、主动性和创造性，整体提升医院的经营能力，促进医院持续、健康发展。</w:t>
      </w:r>
    </w:p>
    <w:p>
      <w:pPr>
        <w:pStyle w:val="4"/>
        <w:spacing w:before="0" w:after="0" w:line="360" w:lineRule="auto"/>
        <w:ind w:firstLine="281"/>
        <w:rPr>
          <w:rFonts w:ascii="宋体" w:hAnsi="宋体" w:cs="宋体"/>
          <w:color w:val="auto"/>
          <w:sz w:val="28"/>
          <w:szCs w:val="28"/>
          <w:highlight w:val="none"/>
        </w:rPr>
      </w:pPr>
      <w:r>
        <w:rPr>
          <w:rFonts w:hint="eastAsia" w:ascii="宋体" w:hAnsi="宋体" w:cs="宋体"/>
          <w:color w:val="auto"/>
          <w:sz w:val="28"/>
          <w:szCs w:val="28"/>
          <w:highlight w:val="none"/>
        </w:rPr>
        <w:t>（四）技术服务要求</w:t>
      </w:r>
    </w:p>
    <w:p>
      <w:pPr>
        <w:pStyle w:val="5"/>
        <w:spacing w:before="0" w:after="0"/>
        <w:ind w:firstLine="2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1、医院大数据分析展示及数据分析服务：</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将医院内的所有医院信息整合统一，打破院内患者信息的孤岛化，实现患者信息的整合性、连贯性，患者信息标准化，实现医院间数据可比性。利用大数据技术进行数据挖掘，掌握本医院疾病流行病学数据，了解本医院医疗负担的分布构成，了解本医院医疗决策行为的真实情况，掌握本医院患者的医疗支付情况，了解本医院患者的就医行为模式，为医院运营能力提升提供数据化的支持。</w:t>
      </w:r>
    </w:p>
    <w:p>
      <w:pPr>
        <w:snapToGrid w:val="0"/>
        <w:spacing w:line="360" w:lineRule="auto"/>
        <w:ind w:firstLine="480"/>
        <w:rPr>
          <w:rFonts w:ascii="宋体" w:hAnsi="宋体" w:cs="宋体"/>
          <w:b/>
          <w:bCs/>
          <w:color w:val="auto"/>
          <w:sz w:val="24"/>
          <w:szCs w:val="24"/>
          <w:highlight w:val="none"/>
        </w:rPr>
      </w:pPr>
      <w:r>
        <w:rPr>
          <w:rFonts w:hint="eastAsia" w:ascii="宋体" w:hAnsi="宋体" w:cs="宋体"/>
          <w:b/>
          <w:bCs/>
          <w:color w:val="auto"/>
          <w:sz w:val="24"/>
          <w:szCs w:val="24"/>
          <w:highlight w:val="none"/>
        </w:rPr>
        <w:t>内容包括：</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（1）对接医院的医学信息数据；</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（2）使用自主知识产权的数据采集工具，进行有效数据采集；</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（3）整理和清洗接入医院现有的数据；</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（4）建立标准化字典（模块标准化、字段标准化）；</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（5）使用自主知识产权的大数据算法和标准化知识库，构建区域云医疗大数据库，云医疗大数据需要建立在云端，通过云端计算后下发到院内服务器中；</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（6）进行医学信息数据统计分析；</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（7）提供医学信息数据平台展示；</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（8）进行基于大数据的医学信息数据分析服务；</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（9）医院自备常规独立的台式电脑作为前置机使用。</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成果文件：医院医学信息数据统计分析报告（成交供应商按医院要求按月度、季度或年度出具报告，具体频次在双方签订的合同中确定）。</w:t>
      </w:r>
    </w:p>
    <w:p>
      <w:pPr>
        <w:pStyle w:val="5"/>
        <w:spacing w:before="0" w:after="0"/>
        <w:ind w:firstLine="2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2、绩效咨询方案内容</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2.1绩效管理方案设计与实施内容：</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建立一套以预算比例法为基础，以DRGs/DIP工作量为依据的现代绩效管理体系，内容包括：</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（1）科室经济核算和可控成本管理方案设计与实施；</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（2）医院绩效工资一次分配方案设计与实施；</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（3）拟定科室绩效二次分配指导意见，指导和确定科室绩效工资二次分配方案设计与实施；</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（4）综合医院绩效考核方案设计与实施。</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2．2绩效管理改革服务项目需求</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2.2.1医、技人员绩效考核方案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驱动临床绩效量化考核。在院内盈亏总体平衡的基础上，以预算为导向,结合国家妇幼保健院绩效考核指标，建立以DRG/DIP运行数据为依据的临床绩效考核体系并予以落实，重点考量反映临床诊疗能力的门急诊人次、病例组合指数、权重、时间指数、费用指数、药耗指数、三四级手术（操作）等指标。绩效考核体现激励为主、处罚为辅、兼顾特殊、分科核算，不与科室收入挂钩。</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医技、医辅、健康管理中心等科室医、技人员以劳动强度、时间、复杂程度、医疗风险为依据，合理设定工作量权重，根据业务结构和历史数据，制定绩效考核方案并予以落实，鼓励多劳多得、开展新业务。</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（3）辅导各科室建立二次分配方案并予以落实，以出院病人数（临床科室）、检查人次（医技、医辅科室）等工作量为主要依据，结合病人危重程度等指标进行考核。</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（4）从手术风险、技术难度或操作的复杂程度及消耗劳动时间等角度进行手术分级，以手术人次和资源消耗情况为依据制定手术绩效方案并予以落实。</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强化成本控制，开展增量项目。在保证医疗质量安全的情况下着重控制药品、耗材、办公用品等资源消耗成本，优化收入结构；分析科室实际情况及市场需求，挖掘医院潜在增量点，帮助科室开展增量项目。</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2.2.2护理人员绩效考核方案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以预算为导向，将床日数、出院人次作为主要考核方向，考虑护理级别、护理时数、CMI值、质量控制、服务满意度等因素制定科学合理的护理绩效考核方案，细化护理单元二次分配实施细则，并予以落实。</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2.2.3科主任绩效考核方案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将医院总体目标分解形成科主任考核目标，实行月度和年度考核并行。根据科室特点和业务性质，从科室医疗质量、运营效率、学科人才队伍建设、满意度等医院绩效考核指标，制定科主任绩效考核方案并予以落实。</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2.2.4行政后勤人员绩效考核方案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推进行政后勤部门及岗位层级管理，以预算为导向，根据劳动强度、工作难度及贡献度对职能部门岗位进行科学合理的评估，确定行政后勤部门系数，同时梳理各部门现有岗位，并赋予相应的岗位系数，实现按岗取酬；指导制定科室二次分配方案并予以落实。</w:t>
      </w:r>
    </w:p>
    <w:p>
      <w:pPr>
        <w:snapToGrid w:val="0"/>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2.3</w:t>
      </w:r>
      <w:r>
        <w:rPr>
          <w:rFonts w:hint="eastAsia" w:ascii="宋体" w:hAnsi="宋体" w:cs="宋体"/>
          <w:color w:val="auto"/>
          <w:sz w:val="24"/>
          <w:szCs w:val="24"/>
          <w:highlight w:val="none"/>
        </w:rPr>
        <w:t>绩效管理培训内容</w:t>
      </w:r>
    </w:p>
    <w:p>
      <w:pPr>
        <w:snapToGrid w:val="0"/>
        <w:spacing w:line="360" w:lineRule="auto"/>
        <w:ind w:left="1466" w:leftChars="426" w:hanging="571"/>
        <w:rPr>
          <w:rFonts w:ascii="宋体" w:hAnsi="宋体" w:cs="宋体"/>
          <w:color w:val="auto"/>
          <w:sz w:val="24"/>
          <w:szCs w:val="24"/>
          <w:highlight w:val="none"/>
        </w:rPr>
      </w:pPr>
      <w:bookmarkStart w:id="11" w:name="_Hlk125034069"/>
      <w:r>
        <w:rPr>
          <w:rFonts w:hint="eastAsia" w:ascii="宋体" w:hAnsi="宋体" w:cs="宋体"/>
          <w:color w:val="auto"/>
          <w:sz w:val="24"/>
          <w:szCs w:val="24"/>
          <w:highlight w:val="none"/>
        </w:rPr>
        <w:t>（1）医院绩效工资改革理念培训；</w:t>
      </w:r>
    </w:p>
    <w:p>
      <w:pPr>
        <w:snapToGrid w:val="0"/>
        <w:spacing w:line="360" w:lineRule="auto"/>
        <w:ind w:left="1466" w:leftChars="426" w:hanging="571"/>
        <w:rPr>
          <w:rFonts w:ascii="宋体" w:hAnsi="宋体" w:cs="宋体"/>
          <w:color w:val="auto"/>
          <w:sz w:val="24"/>
          <w:szCs w:val="24"/>
          <w:highlight w:val="none"/>
        </w:rPr>
      </w:pPr>
      <w:r>
        <w:rPr>
          <w:rFonts w:hint="eastAsia" w:ascii="宋体" w:hAnsi="宋体" w:cs="宋体"/>
          <w:color w:val="auto"/>
          <w:sz w:val="24"/>
          <w:szCs w:val="24"/>
          <w:highlight w:val="none"/>
        </w:rPr>
        <w:t>（2）医院新绩效工资方案专题讲解与培训；</w:t>
      </w:r>
    </w:p>
    <w:p>
      <w:pPr>
        <w:snapToGrid w:val="0"/>
        <w:spacing w:line="360" w:lineRule="auto"/>
        <w:ind w:left="1466" w:leftChars="426" w:hanging="571"/>
        <w:rPr>
          <w:rFonts w:ascii="宋体" w:hAnsi="宋体" w:cs="宋体"/>
          <w:color w:val="auto"/>
          <w:sz w:val="24"/>
          <w:szCs w:val="24"/>
          <w:highlight w:val="none"/>
        </w:rPr>
      </w:pPr>
      <w:r>
        <w:rPr>
          <w:rFonts w:hint="eastAsia" w:ascii="宋体" w:hAnsi="宋体" w:cs="宋体"/>
          <w:color w:val="auto"/>
          <w:sz w:val="24"/>
          <w:szCs w:val="24"/>
          <w:highlight w:val="none"/>
        </w:rPr>
        <w:t>（3）二次分配辅导培训，临床科主任、医技科主任、护士长分别进行；</w:t>
      </w:r>
    </w:p>
    <w:p>
      <w:pPr>
        <w:snapToGrid w:val="0"/>
        <w:spacing w:line="360" w:lineRule="auto"/>
        <w:ind w:left="1466" w:leftChars="426" w:hanging="571"/>
        <w:rPr>
          <w:rFonts w:ascii="宋体" w:hAnsi="宋体" w:cs="宋体"/>
          <w:color w:val="auto"/>
          <w:sz w:val="24"/>
          <w:szCs w:val="24"/>
          <w:highlight w:val="none"/>
        </w:rPr>
      </w:pPr>
      <w:r>
        <w:rPr>
          <w:rFonts w:hint="eastAsia" w:ascii="宋体" w:hAnsi="宋体" w:cs="宋体"/>
          <w:color w:val="auto"/>
          <w:sz w:val="24"/>
          <w:szCs w:val="24"/>
          <w:highlight w:val="none"/>
        </w:rPr>
        <w:t>（4）绩效考核辅导培训（职能科室负责人）；</w:t>
      </w:r>
    </w:p>
    <w:p>
      <w:pPr>
        <w:snapToGrid w:val="0"/>
        <w:spacing w:line="360" w:lineRule="auto"/>
        <w:ind w:left="1314" w:leftChars="286" w:hanging="713"/>
        <w:rPr>
          <w:rFonts w:ascii="宋体" w:hAnsi="宋体" w:cs="宋体"/>
          <w:color w:val="auto"/>
          <w:sz w:val="24"/>
          <w:szCs w:val="24"/>
          <w:highlight w:val="none"/>
        </w:rPr>
      </w:pPr>
      <w:r>
        <w:rPr>
          <w:rFonts w:hint="eastAsia" w:ascii="宋体" w:hAnsi="宋体" w:cs="宋体"/>
          <w:color w:val="auto"/>
          <w:sz w:val="24"/>
          <w:szCs w:val="24"/>
          <w:highlight w:val="none"/>
        </w:rPr>
        <w:t xml:space="preserve">   （5）小范围辅导及沟通。</w:t>
      </w:r>
      <w:bookmarkEnd w:id="11"/>
    </w:p>
    <w:p>
      <w:pPr>
        <w:snapToGrid w:val="0"/>
        <w:spacing w:before="0" w:after="0"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4项目成果</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（1）医院绩效管理调研报告及医院绩效分配方案；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（2）科室经济核算及可控成本管理方案；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（3）医院绩效考核框架性方案；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（4）绩效工资数据测算表；</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（5）绩效方案二次分配指导意见及各科室二次分配方案；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（6）试运行后总结报告。</w:t>
      </w:r>
    </w:p>
    <w:p>
      <w:pPr>
        <w:pStyle w:val="3"/>
        <w:spacing w:before="0" w:after="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二、商务要求</w:t>
      </w:r>
      <w:bookmarkEnd w:id="10"/>
    </w:p>
    <w:p>
      <w:pPr>
        <w:snapToGrid w:val="0"/>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（一）完成时间：</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1、医院大数据分析展示及数据分析服务：</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时间计划：项目周期为合同签订后12个月，成交供应商按医院要求按月度、季度或年度出具报告，具体频次在双方签订的合同中确定。</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2、绩效咨询方案：</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时间计划：本项目总体安排为签订合同2周内开始进场工作，项目周期为合同签订后6个月内完成（含验收通过时间）。</w:t>
      </w:r>
    </w:p>
    <w:p>
      <w:pPr>
        <w:snapToGrid w:val="0"/>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（二）服务地点：</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全院范围。</w:t>
      </w:r>
    </w:p>
    <w:p>
      <w:pPr>
        <w:snapToGrid w:val="0"/>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（三）售后服务：</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1、提供一年的售后服务期，售后服务期自完成验收之日起计算；</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2、售后服务期内提供免费的电话或远程咨询服务；</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3、售后服务期结束后每年对医院进行一次项目远程回访（远程回访产生的费用由成交供应商负责），跟踪了解方案运行情况。</w:t>
      </w:r>
    </w:p>
    <w:p>
      <w:pPr>
        <w:snapToGrid w:val="0"/>
        <w:spacing w:line="360" w:lineRule="auto"/>
        <w:ind w:firstLine="480" w:firstLineChars="200"/>
        <w:rPr>
          <w:color w:val="auto"/>
          <w:sz w:val="24"/>
          <w:highlight w:val="none"/>
        </w:rPr>
      </w:pPr>
      <w:r>
        <w:rPr>
          <w:rFonts w:hint="eastAsia"/>
          <w:color w:val="auto"/>
          <w:sz w:val="24"/>
          <w:highlight w:val="none"/>
        </w:rPr>
        <w:t>（四）运行</w:t>
      </w:r>
      <w:r>
        <w:rPr>
          <w:color w:val="auto"/>
          <w:sz w:val="24"/>
          <w:highlight w:val="none"/>
        </w:rPr>
        <w:t>和验收</w:t>
      </w:r>
    </w:p>
    <w:p>
      <w:pPr>
        <w:snapToGrid w:val="0"/>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成交供应商合同签署后开始详细数据分析、需求调研、数据准备与试运行，并逐步投入正式运行。</w:t>
      </w:r>
      <w:r>
        <w:rPr>
          <w:rFonts w:hint="eastAsia"/>
          <w:color w:val="auto"/>
          <w:sz w:val="24"/>
          <w:highlight w:val="none"/>
        </w:rPr>
        <w:t>成交供应商保证进行医院大数据分析展示及数据分析服务的过程中及形成的工作成果符合国家及行业的安全要求，不对采购人的原有服务器及数据等造成任何安全隐患。</w:t>
      </w:r>
    </w:p>
    <w:p>
      <w:pPr>
        <w:snapToGrid w:val="0"/>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成交供应商进行操作人员培训与技术人员培训，提供操作手册与相关技术文档。</w:t>
      </w:r>
    </w:p>
    <w:p>
      <w:pPr>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成交供应商和采购人共同组成验收小组，按照采购人规定的验收标准、程序和文档要求进行验收，</w:t>
      </w:r>
      <w:r>
        <w:rPr>
          <w:rFonts w:hint="eastAsia"/>
          <w:color w:val="auto"/>
          <w:sz w:val="24"/>
          <w:highlight w:val="none"/>
        </w:rPr>
        <w:t>验收小组所有人员</w:t>
      </w:r>
      <w:r>
        <w:rPr>
          <w:color w:val="auto"/>
          <w:sz w:val="24"/>
          <w:highlight w:val="none"/>
        </w:rPr>
        <w:t>签字的验收报告作为</w:t>
      </w:r>
      <w:r>
        <w:rPr>
          <w:rFonts w:hint="eastAsia"/>
          <w:color w:val="auto"/>
          <w:sz w:val="24"/>
          <w:highlight w:val="none"/>
        </w:rPr>
        <w:t>尾款</w:t>
      </w:r>
      <w:r>
        <w:rPr>
          <w:color w:val="auto"/>
          <w:sz w:val="24"/>
          <w:highlight w:val="none"/>
        </w:rPr>
        <w:t>付款依据。</w:t>
      </w:r>
    </w:p>
    <w:p>
      <w:pPr>
        <w:snapToGrid w:val="0"/>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验收报告不能免除成交供应商对由于产品问题而产生的质量问题应承担的责任。</w:t>
      </w:r>
    </w:p>
    <w:p>
      <w:pPr>
        <w:snapToGrid w:val="0"/>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项目验收标准</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文件中的采购需求及合同约定将作为本项目最终验收的标准。</w:t>
      </w:r>
    </w:p>
    <w:p>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（1）分段验收：项目每阶段由医院领导班子以评审通过并签字认可的方式确认供应商提交的各项方案，并及时提出书面的反馈意见，成交供应商根据意见修订方案最终通过阶段验收；</w:t>
      </w:r>
    </w:p>
    <w:p>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（2）总体验收：医院班子会议和职工代表大会报告表决验收，最终通过项目总体验收。</w:t>
      </w:r>
    </w:p>
    <w:p>
      <w:pPr>
        <w:snapToGrid w:val="0"/>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（四）付款方式</w:t>
      </w:r>
    </w:p>
    <w:p>
      <w:pPr>
        <w:snapToGrid w:val="0"/>
        <w:spacing w:line="360" w:lineRule="auto"/>
        <w:ind w:left="450" w:leftChars="100" w:hanging="240" w:hangingChars="100"/>
        <w:rPr>
          <w:rFonts w:ascii="宋体" w:hAnsi="宋体" w:cs="宋体"/>
          <w:color w:val="auto"/>
          <w:sz w:val="24"/>
          <w:szCs w:val="24"/>
          <w:highlight w:val="none"/>
        </w:rPr>
      </w:pPr>
      <w:r>
        <w:rPr>
          <w:rFonts w:hint="eastAsia" w:ascii="宋体" w:hAnsi="宋体" w:cs="宋体"/>
          <w:color w:val="auto"/>
          <w:sz w:val="24"/>
          <w:szCs w:val="24"/>
          <w:highlight w:val="none"/>
        </w:rPr>
        <w:t>第一期：合同签订后，项目进场前一周内，采购人支付合同额的20%；</w:t>
      </w:r>
    </w:p>
    <w:p>
      <w:pPr>
        <w:snapToGrid w:val="0"/>
        <w:spacing w:line="360" w:lineRule="auto"/>
        <w:ind w:left="450" w:leftChars="100" w:hanging="240" w:hangingChars="100"/>
        <w:rPr>
          <w:rFonts w:ascii="宋体" w:hAnsi="宋体" w:cs="宋体"/>
          <w:color w:val="auto"/>
          <w:sz w:val="24"/>
          <w:szCs w:val="24"/>
          <w:highlight w:val="none"/>
        </w:rPr>
      </w:pPr>
      <w:r>
        <w:rPr>
          <w:rFonts w:hint="eastAsia" w:ascii="宋体" w:hAnsi="宋体" w:cs="宋体"/>
          <w:color w:val="auto"/>
          <w:sz w:val="24"/>
          <w:szCs w:val="24"/>
          <w:highlight w:val="none"/>
        </w:rPr>
        <w:t>第二期：成交供应商向采购人提交医院绩效管理调研报告后一周内，采购人支付合同额的20%；</w:t>
      </w:r>
    </w:p>
    <w:p>
      <w:pPr>
        <w:snapToGrid w:val="0"/>
        <w:spacing w:line="360" w:lineRule="auto"/>
        <w:ind w:left="450" w:leftChars="100" w:hanging="240" w:hangingChars="100"/>
        <w:rPr>
          <w:rFonts w:ascii="宋体" w:hAnsi="宋体" w:cs="宋体"/>
          <w:color w:val="auto"/>
          <w:sz w:val="24"/>
          <w:szCs w:val="24"/>
          <w:highlight w:val="none"/>
        </w:rPr>
      </w:pPr>
      <w:r>
        <w:rPr>
          <w:rFonts w:hint="eastAsia" w:ascii="宋体" w:hAnsi="宋体" w:cs="宋体"/>
          <w:color w:val="auto"/>
          <w:sz w:val="24"/>
          <w:szCs w:val="24"/>
          <w:highlight w:val="none"/>
        </w:rPr>
        <w:t>第三期：初版绩效分配方案及绩效测算结果经采购人确认后，采购人支付合同额的30%；</w:t>
      </w:r>
    </w:p>
    <w:p>
      <w:pPr>
        <w:snapToGrid w:val="0"/>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第四期：按新的绩效方案发放绩效三个月后，成交供应商根据发放效果改进绩效方案，改进后再行组织验收，在最终版绩效方案确认后一周内付合同额的</w:t>
      </w: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数据分析服务期满后一周内，采购人支付合同额的5</w:t>
      </w:r>
      <w:r>
        <w:rPr>
          <w:rFonts w:ascii="宋体" w:hAnsi="宋体" w:cs="宋体"/>
          <w:color w:val="auto"/>
          <w:sz w:val="24"/>
          <w:szCs w:val="24"/>
          <w:highlight w:val="none"/>
        </w:rPr>
        <w:t>%。</w:t>
      </w:r>
    </w:p>
    <w:p>
      <w:pPr>
        <w:snapToGrid w:val="0"/>
        <w:spacing w:line="360" w:lineRule="auto"/>
        <w:ind w:firstLine="720" w:firstLineChars="300"/>
        <w:rPr>
          <w:rFonts w:ascii="宋体" w:hAnsi="宋体" w:cs="宋体"/>
          <w:color w:val="auto"/>
          <w:sz w:val="24"/>
          <w:szCs w:val="24"/>
          <w:highlight w:val="none"/>
        </w:rPr>
      </w:pPr>
      <w:r>
        <w:rPr>
          <w:rFonts w:hint="eastAsia"/>
          <w:color w:val="auto"/>
          <w:sz w:val="24"/>
          <w:highlight w:val="none"/>
        </w:rPr>
        <w:t>每次付款前</w:t>
      </w:r>
      <w:r>
        <w:rPr>
          <w:rFonts w:hint="eastAsia" w:ascii="宋体" w:hAnsi="宋体" w:cs="宋体"/>
          <w:color w:val="auto"/>
          <w:sz w:val="24"/>
          <w:szCs w:val="24"/>
          <w:highlight w:val="none"/>
        </w:rPr>
        <w:t>成交供应商向采购人开具等额票据。</w:t>
      </w:r>
    </w:p>
    <w:p>
      <w:pPr>
        <w:snapToGrid w:val="0"/>
        <w:spacing w:after="200" w:line="240" w:lineRule="atLeas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pPr>
        <w:jc w:val="left"/>
        <w:rPr>
          <w:rFonts w:ascii="宋体" w:hAnsi="宋体" w:cs="宋体"/>
          <w:b/>
          <w:color w:val="auto"/>
          <w:highlight w:val="none"/>
        </w:rPr>
      </w:pPr>
      <w:r>
        <w:rPr>
          <w:rFonts w:hint="eastAsia" w:ascii="宋体" w:hAnsi="宋体" w:cs="宋体"/>
          <w:color w:val="auto"/>
          <w:highlight w:val="none"/>
        </w:rPr>
        <w:br w:type="page"/>
      </w:r>
    </w:p>
    <w:p>
      <w:pPr>
        <w:snapToGrid w:val="0"/>
        <w:spacing w:line="360" w:lineRule="auto"/>
        <w:ind w:firstLine="200"/>
        <w:rPr>
          <w:rFonts w:ascii="宋体" w:hAnsi="宋体" w:cs="宋体"/>
          <w:b/>
          <w:color w:val="auto"/>
          <w:highlight w:val="none"/>
        </w:rPr>
      </w:pPr>
    </w:p>
    <w:p>
      <w:pPr>
        <w:rPr>
          <w:rFonts w:ascii="宋体" w:hAnsi="宋体" w:cs="宋体"/>
          <w:color w:val="auto"/>
          <w:highlight w:val="none"/>
        </w:rPr>
      </w:pPr>
    </w:p>
    <w:p>
      <w:pPr>
        <w:pStyle w:val="2"/>
        <w:spacing w:before="0" w:after="0"/>
        <w:jc w:val="center"/>
        <w:rPr>
          <w:rFonts w:ascii="宋体" w:hAnsi="宋体" w:cs="宋体"/>
          <w:color w:val="auto"/>
          <w:highlight w:val="none"/>
        </w:rPr>
      </w:pPr>
      <w:bookmarkStart w:id="12" w:name="_Toc123557077"/>
      <w:r>
        <w:rPr>
          <w:rFonts w:hint="eastAsia" w:ascii="宋体" w:hAnsi="宋体" w:cs="宋体"/>
          <w:color w:val="auto"/>
          <w:highlight w:val="none"/>
        </w:rPr>
        <w:t>第三章 供应商须知</w:t>
      </w:r>
      <w:bookmarkEnd w:id="12"/>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一、名词解释</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1.采购代理机构：本项目是指广东正联德工程咨询有限公司，负责整个采购活动的组织，依法负责编制和发布磋商文件，对磋商文件拥有最终的解释权，不以任何身份出任磋商小组成员。</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2.采购人：本项目是指化州市妇幼保健院，是采购活动当事人之一，负责项目的整体规划、技术方案可行性设计论证与实施，作为合同采购方（用户）的主体承担质疑回复、履行合同、验收与评价等义务。</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3.供应商：是指响应本文件要求，参加磋商的法人或者其他组织。</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4.“磋商小组”是指根据《中华人民共和国政府采购法》等法律法规规定，由采购人代表和有关专家组成以确定成交供应商或者推荐成交候选供应商的临时组织。</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5.“成交供应商”是指经磋商小组评审确定的对磋商文件做出实质性响应，经采购人按照规定在磋商小组推荐的成交候选供应商中确定的或磋商小组受采购人委托直接确认的供应商。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6.磋商文件：是指包括磋商公告和磋商文件及其补充、变更和澄清等一系列文件。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7.“法定代表人”：在电子响应（响应）文件及相关的其他电子资料中，涉及“法定代表人”应在纸质响应（响应）文件上进行手写签名，或通过响应客户端使用电子签名完成。</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8.日期、天数、时间：未有特别说明时，均为公历日（天）及北京时间。</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二、须知前附表</w:t>
      </w:r>
    </w:p>
    <w:tbl>
      <w:tblPr>
        <w:tblStyle w:val="13"/>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8"/>
        <w:gridCol w:w="1701"/>
        <w:gridCol w:w="65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blHeader/>
        </w:trPr>
        <w:tc>
          <w:tcPr>
            <w:tcW w:w="848" w:type="dxa"/>
            <w:tcBorders>
              <w:top w:val="single" w:color="auto" w:sz="2" w:space="0"/>
              <w:left w:val="single" w:color="auto" w:sz="2" w:space="0"/>
              <w:bottom w:val="single" w:color="auto" w:sz="2" w:space="0"/>
              <w:right w:val="single" w:color="auto" w:sz="2" w:space="0"/>
            </w:tcBorders>
            <w:shd w:val="clear" w:color="000000" w:fill="BDD6EE" w:themeFill="accent1" w:themeFillTint="66"/>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序号</w:t>
            </w:r>
          </w:p>
        </w:tc>
        <w:tc>
          <w:tcPr>
            <w:tcW w:w="1701" w:type="dxa"/>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条款名称</w:t>
            </w:r>
          </w:p>
        </w:tc>
        <w:tc>
          <w:tcPr>
            <w:tcW w:w="6515" w:type="dxa"/>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内容及要求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采购包情况</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本项目共1个采购包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开启方式</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现场开标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评审方式</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现场评标（供应商应当审慎标记各评审项的应答部分，标记内容清晰且完整，否则将自行承担不利后果）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评审办法</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采购包1：综合评分法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报价形式</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6</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报价要求</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hint="default" w:ascii="宋体" w:hAnsi="宋体" w:cs="宋体"/>
                <w:color w:val="auto"/>
                <w:highlight w:val="none"/>
              </w:rPr>
            </w:pPr>
            <w:r>
              <w:rPr>
                <w:rFonts w:hint="eastAsia" w:ascii="宋体" w:hAnsi="宋体" w:cs="宋体"/>
                <w:color w:val="auto"/>
                <w:highlight w:val="none"/>
                <w:lang w:val="en-US" w:eastAsia="zh-CN"/>
              </w:rPr>
              <w:t>报价不得超过预算总价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7</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现场踏勘</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8</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响应有效期</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从提交响应（响应）文件的截止之日起60日历天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9</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响应保证金</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无需提交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10</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成交候选供应商推荐家数</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采购包1：3家</w:t>
            </w:r>
          </w:p>
          <w:p>
            <w:pPr>
              <w:spacing w:line="360" w:lineRule="auto"/>
              <w:rPr>
                <w:rFonts w:ascii="宋体" w:hAnsi="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11</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成交供应商家数</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采购包1：1家；</w:t>
            </w:r>
            <w:r>
              <w:rPr>
                <w:rFonts w:ascii="宋体" w:hAnsi="宋体" w:cs="宋体"/>
                <w:color w:val="auto"/>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12</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有效供应商家数</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采购包1：3家；</w:t>
            </w:r>
          </w:p>
          <w:p>
            <w:pPr>
              <w:spacing w:line="360" w:lineRule="auto"/>
              <w:ind w:firstLine="105" w:firstLineChars="50"/>
              <w:rPr>
                <w:rFonts w:ascii="宋体" w:hAnsi="宋体" w:cs="宋体"/>
                <w:color w:val="auto"/>
                <w:highlight w:val="none"/>
              </w:rPr>
            </w:pPr>
            <w:r>
              <w:rPr>
                <w:rFonts w:hint="eastAsia" w:ascii="宋体" w:hAnsi="宋体" w:cs="宋体"/>
                <w:color w:val="auto"/>
                <w:highlight w:val="none"/>
              </w:rPr>
              <w:t>此人数约定了开启与评审过程中的最低有效供应商家数，当家数不足时项目将不得开启、不得评审或直接终止采购。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13</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项目兼投兼中规则</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14</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成交供应商确定方式</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采购人按照评审报告中推荐的成交候选人确定中标（成交）人。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15</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代理服务费</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收取。采购机构代理服务收费标准：1.成交供应商在领取《成交通知书》之时须向采购代理机构交纳招标代理服务费，收费标准参照中华人民共和国国家计划发展委员会颁布的《招标代理服务收费管理暂行办法》（计价格[2002]1980号）相关条款规定和要求。 2.成交供应商中标后，必须按规定向采购代理机构直接缴交招标代理服务费。成交供应商不按规定交纳招标代理服务费的，采购代理机构有权保留进一步追索权利。 3.经依法取消、放弃中标资格或无故不与采购人签订合同的，招标代理服务费不予退还。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16</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代理服务费收取方式</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向中标/成交供应商收取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17</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响应文件要求</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（1）电子响应文件 1 份。</w:t>
            </w:r>
          </w:p>
          <w:p>
            <w:pPr>
              <w:spacing w:line="360" w:lineRule="auto"/>
              <w:rPr>
                <w:rFonts w:ascii="宋体" w:hAnsi="宋体" w:cs="宋体"/>
                <w:color w:val="auto"/>
                <w:highlight w:val="none"/>
              </w:rPr>
            </w:pPr>
            <w:r>
              <w:rPr>
                <w:rFonts w:hint="eastAsia" w:ascii="宋体" w:hAnsi="宋体" w:cs="宋体"/>
                <w:color w:val="auto"/>
                <w:highlight w:val="none"/>
              </w:rPr>
              <w:t>（2）纸质响应文件正本1份，纸质响应文件副本3份。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48"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highlight w:val="none"/>
              </w:rPr>
            </w:pPr>
            <w:r>
              <w:rPr>
                <w:rFonts w:hint="eastAsia" w:ascii="宋体" w:hAnsi="宋体" w:cs="宋体"/>
                <w:color w:val="auto"/>
                <w:highlight w:val="none"/>
              </w:rPr>
              <w:t>18</w:t>
            </w:r>
          </w:p>
        </w:tc>
        <w:tc>
          <w:tcPr>
            <w:tcW w:w="1701"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r>
              <w:rPr>
                <w:rFonts w:hint="eastAsia" w:ascii="宋体" w:hAnsi="宋体" w:cs="宋体"/>
                <w:color w:val="auto"/>
                <w:highlight w:val="none"/>
              </w:rPr>
              <w:t>其他</w:t>
            </w:r>
          </w:p>
        </w:tc>
        <w:tc>
          <w:tcPr>
            <w:tcW w:w="6515" w:type="dxa"/>
            <w:tcBorders>
              <w:top w:val="single" w:color="auto" w:sz="2" w:space="0"/>
              <w:left w:val="nil"/>
              <w:bottom w:val="single" w:color="auto" w:sz="2" w:space="0"/>
              <w:right w:val="single" w:color="auto" w:sz="2" w:space="0"/>
            </w:tcBorders>
            <w:tcMar>
              <w:left w:w="108" w:type="dxa"/>
              <w:right w:w="108" w:type="dxa"/>
            </w:tcMar>
          </w:tcPr>
          <w:p>
            <w:pPr>
              <w:spacing w:line="360" w:lineRule="auto"/>
              <w:rPr>
                <w:rFonts w:ascii="宋体" w:hAnsi="宋体" w:cs="宋体"/>
                <w:color w:val="auto"/>
                <w:highlight w:val="none"/>
              </w:rPr>
            </w:pPr>
          </w:p>
        </w:tc>
      </w:tr>
    </w:tbl>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三、说明</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1.总则</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磋商文件依据《中华人民共和国政府采购法》、《中华人民共和国政府采购法实施条例》（国务院令第658号）和《政府采购竞争性磋商采购方式管理暂行办法》（财库〔2014〕214号）及国家和广东省有关法律、法规、规章制度编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本次竞争性磋商项目，是以磋商公告的方式邀请非特定的供应商参加磋商。</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2.适用范围</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本磋商文件仅适用于本次磋商公告中所涉及的项目和内容。</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3.进口产品</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若本项目允许采购进口产品，供应商应保证所投产品可履行合法报通关手续进入中国关境内。</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若本项目不允许采购进口产品，如供应商所投产品为进口产品，其响应将被认定为响应无效。</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4.磋商费用</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不论磋商结果如何，供应商应承担所有与准备和参加磋商有关的费用。采购代理机构和采购人均无义务和责任承担相关费用。</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5.以联合体形式磋商的，应符合以下规定：</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5.1联合体各方均应当满足《中华人民共和国政府采购法》第二十二条规定的条件，并在响应文件中提供联合体各方的相关证明材料。</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5.4联合体成员存在不良信用记录的，视同联合体存在不良信用记录。</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5.6联合体各方应当共同与采购人签订采购合同，就合同约定的事项对采购人承担连带责任。</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6.关联企业响应说明</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7.关于中小微企业响应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中小企业划分见《关于印发中小企业划型标准规定的通知》（工信部联企业〔2011〕300号)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根据财库〔2014〕68号《财政部</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根据财库〔2017〕141号《财政部 民政部</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8.纪律与保密事项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8.2供应商不得与采购人就响应价格、响应方案等实质性内容进行磋商，也不得私下接触磋商小组成员。</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8.3在确定成交供应商之前，供应商试图在响应文件审查、澄清、比较和评价时对磋商小组、采购人和采购代理机构施加任何影响都可能导致其响应无效。</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8.4获得本磋商文件者，须履行本磋商项目下保密义务，不得将因本次磋商获得的信息向第三人外传，不得将磋商文件用作本次响应以外的任何用途。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8.6采购人或采购代理机构有权将供应商提供的所有资料向有关政府部门或询价小组披露。</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9.语言文字以及度量衡单位</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9.2除非磋商文件的技术规格中另有规定，供应商在响应文件中及其与采购人和采购代理机构的所有往来文件中的计量单位均应采用中华人民共和国法定计量单位。</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9.3供应商所提供的货物和服务均应以人民币报价，货币单位：元。</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10. 现场踏勘（如有）</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10.1磋商文件规定组织踏勘现场的，采购人按磋商文件规定的时间、地点组织供应商踏勘项目现场。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10.2供应商自行承担踏勘现场发生的责任、风险和自身费用。</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10.3采购人在踏勘现场中介绍的资料和数据等，不构成对磋商文件的修改或不作为供应商编制响应文件的依据。</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11.关于分支机构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四、磋商文件的澄清和修改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3.供应商在规定的时间内未对磋商文件提出疑问、质疑或要求澄清的，将视其为无异议。对磋商文件中描述有歧义或前后不一致的地方，磋商小组有权进行评判，但对同一条款的评判应适用于每个供应商。</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五、响应要求</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1.响应登记</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供应商应在代理机构进行登记报名获取磋商文件（未登记报名并获取磋商文件的供应商，其响应资格将被视为无效）。</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2.响应文件的制作</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2.1响应文件中，所有内容均以纸质文件编制，其格式要求详见第六章说明。</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2.2供应商应使用云平台提供的响应客户端编制、标记、加密响应文件，成功加密后将生成指定格式的电子响应文件和电子备用响应文件。所有响应文件不能进行压缩处理。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2.3如有对多个采购包响应的，要对每个采购包独立制作响应文件。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2.4供应商不得将同一个项目或同一个采购包的内容拆开响应，否则其报价将被视为非实质性响应。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2.5供应商须对磋商文件的对应要求给予唯一的实质性响应，否则将视为不响应。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2.6磋商文件中，凡标有“★”的地方均为实质性响应条款，供应商若有一项带“★”的条款未响应或不满足，将按无效响应处理。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2.8响应文件以及供应商与采购人、代理机构就有关响应的往来函电均应使用中文。供应商提交的支持性文件和印制的文件可以用另一种语言，但相应内容应翻译成中文，在解释响应文件时以中文文本为准。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3.响应文件的提交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3.1在响应文件提交截止时间前，供应商须将响应文件提交到指定地点。逾期提交将拒绝接收。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3.2代理机构对因不可抗力事件造成的响应文件的损坏、丢失的，不承担责任。</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3.3出现下述情形之一，属于未成功提交响应文件，按无效响应处理：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（1）至提交响应文件截止时，响应文件未提交的。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（2）响应文件未按规定密封的。</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4.响应文件的修改、撤回与撤销</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4.1供应商在响应截止时间前，可以对所递交的响应文件进行补充、修改或者撤回，并书面通知广东正联德工程咨询有限公司。补充、修改的内容应当按采购文件要求签署、盖章，密封后并作为响应文件的组成部分。在响应截止时点之后，供应商不得对其响应文件做任何修改和补充。</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4.2供应商在递交响应文件后，可以撤回其响应文件，但供应商必须在规定的响应截止时点前以书面形式告知广东正联德工程咨询有限公司。</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4.3代理机构不接受电报、电话、电传、传真、邮寄、快递响应。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4.4供应商所提交的响应文件在评审结束后，无论成交与否都不退还。</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5.响应文件的开封</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到达开启时间后，原则上应当有采购人代表和供应商代表参加。参加开标的代表应签到以证明其出席并完整履行其职责。未参加开标的，视同认可开标结果。</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6.响应保证金</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本项目不收取磋商保证金。</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7.响应有效期</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7.1响应有效期内供应商撤销响应文件的，采购人或者采购代理机构可以不退还响应保证金（如有）。采用响应保函方式替代保证金的，采购人或者采购代理机构可以向担保机构索赔保证金。</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8.样品（演示）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8.1磋商文件规定供应商提交样品的，样品属于响应文件的组成部分。样品的生产、运输、安装、保全等一切费用由供应商自理。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8.2递交响应文件截止时间前，供应商应将样品送达至指定地点。若需要现场演示的，供应商应提前做好演示准备（包括演示设备）。</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9.除磋商文件另有规定外，有下列情形之一的，响应无效：</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9.1响应文件未按照磋商文件要求签署、盖章；</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9.2不符合磋商文件中规定的资格要求；</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9.3磋商报价超过磋商文件中规定的预算金额或最高限价；</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9.4响应文件含有采购人不能接受的附加条件；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9.5有关法律、法规和规章及磋商文件规定的其他无效情形。</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六、磋商、评审和结果确定</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1.响应文件的开启</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1.1开启程序</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工作人员按磋商公告规定的时间进行开启，由采购人或者采购代理机构工作人员宣布供应商名称、解密情况和磋商文件规定的需要宣布的其他内容。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供应商的法定代表人或其委托代理人应当按照本磋商公告载明的时间和地点前往参加开启。</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1.2异议</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供应商代表对开启过程和开启记录有疑义，以及认为采购人、采购代理机构相关工作人员有需要回避的情形的，应当场提出询问或者回避申请。供应商未参加开启的，视同认可开启结果。</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2.评审（详见第四章）</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3.成交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3.1成交结果公告：</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广东正联德工程咨询有限公司自采购人确定之日起2个工作日内在相关媒体上公告成交结果，不在成交名单之列者即为未成交人，招标代理机构不再以其他方式另行通知。</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3.2成交通知书：</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采购人或采购代理机构在发布成交结果公告时，同时向成交供应商发出《成交通知书》，《成交通知书》对成交供应商和采购人具有同等法律效力。</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3.3终止公告：</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终止磋商采购活动后，采购人或采购代理机构将在代理机构门户网站上发布终止公告，终止公告的公告期限为1 个工作日。</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七、询问、质疑与投诉</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1.询问</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2.质疑</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（1）对磋商文件提出质疑的，为获取磋商文件之日或者磋商文件公告期限届满之日；</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（2）对采购过程提出质疑的，为各采购程序环节结束之日；</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（3）对成交结果提出质疑的，为成交结果公告期限届满之日。</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2.2质疑函应当包括下列主要内容：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（1）质疑供应商和相关供应商的名称、地址、邮编、联系人及联系电话等；</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（2）质疑项目名称及编号、具体明确的质疑事项和与质疑事项相关的请求；</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（3）认为磋商文件、采购过程和成交结果使自己的合法权益受到损害的法律依据、事实依据、相关证明材料及证据来源；</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（4）提出质疑的日期。</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2.3质疑函应当署名。质疑供应商为自然人的，应当由本人签字；质疑供应商为法人或者其他组织的，应当由法定代表人、主要负责人，或者其授权代表签字或者盖章，并加盖公章。</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2.4以联合体形式参加政府采购活动的，其质疑应当由联合体成员委托主体提出。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2.6质疑联系方式如下：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质疑联系人：广东正联德工程咨询有限公司</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电话：0668-3366608</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传真：0668-3366608</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邮箱：</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地址：</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邮编：</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八、合同签订和履行</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1.合同签订</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1.1采购人与成交供应商自中标通知书发出之日起三十日内，按采购文件要求和成交供应商响应文件承诺签订采购合同，但不得超出采购文件和成交供应商响应文件的范围、也不得再行订立背离合同实质性内容的其他协议。</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1.2采购人不得提出试用合格等任何不合理的要求作为签订合同的条件，且不得与成交供应商私下订立背离合同实质性内容的协议。</w:t>
      </w:r>
    </w:p>
    <w:p>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2.合同的履行</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2.2政府采购合同履行中，采购人需追加与合同标的相同的货物、工程或者服务的，在不改变合同其他条款的前提下，可以与成交供应商签订补充合同，但所补充合同的采购金额不得超过原采购金额的10%。</w:t>
      </w:r>
    </w:p>
    <w:p>
      <w:pPr>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jc w:val="left"/>
        <w:rPr>
          <w:rFonts w:ascii="宋体" w:hAnsi="宋体" w:cs="宋体"/>
          <w:b/>
          <w:color w:val="auto"/>
          <w:sz w:val="24"/>
          <w:szCs w:val="24"/>
          <w:highlight w:val="none"/>
        </w:rPr>
      </w:pPr>
      <w:r>
        <w:rPr>
          <w:rFonts w:hint="eastAsia" w:ascii="宋体" w:hAnsi="宋体" w:cs="宋体"/>
          <w:color w:val="auto"/>
          <w:highlight w:val="none"/>
        </w:rPr>
        <w:br w:type="page"/>
      </w:r>
    </w:p>
    <w:p>
      <w:pPr>
        <w:rPr>
          <w:rFonts w:ascii="宋体" w:hAnsi="宋体" w:cs="宋体"/>
          <w:color w:val="auto"/>
          <w:highlight w:val="none"/>
        </w:rPr>
      </w:pPr>
    </w:p>
    <w:p>
      <w:pPr>
        <w:pStyle w:val="2"/>
        <w:spacing w:before="0" w:after="0"/>
        <w:jc w:val="center"/>
        <w:rPr>
          <w:rFonts w:ascii="宋体" w:hAnsi="宋体" w:cs="宋体"/>
          <w:color w:val="auto"/>
          <w:highlight w:val="none"/>
        </w:rPr>
      </w:pPr>
      <w:bookmarkStart w:id="13" w:name="_Toc123557078"/>
      <w:r>
        <w:rPr>
          <w:rFonts w:hint="eastAsia" w:ascii="宋体" w:hAnsi="宋体" w:cs="宋体"/>
          <w:color w:val="auto"/>
          <w:highlight w:val="none"/>
        </w:rPr>
        <w:t>第四章 评审</w:t>
      </w:r>
      <w:bookmarkEnd w:id="13"/>
    </w:p>
    <w:p>
      <w:pPr>
        <w:pStyle w:val="3"/>
        <w:spacing w:before="0" w:after="0"/>
        <w:rPr>
          <w:rFonts w:ascii="宋体" w:hAnsi="宋体" w:eastAsia="宋体" w:cs="宋体"/>
          <w:color w:val="auto"/>
          <w:sz w:val="24"/>
          <w:szCs w:val="24"/>
          <w:highlight w:val="none"/>
        </w:rPr>
      </w:pPr>
      <w:bookmarkStart w:id="14" w:name="_Toc123557079"/>
      <w:r>
        <w:rPr>
          <w:rFonts w:hint="eastAsia" w:ascii="宋体" w:hAnsi="宋体" w:eastAsia="宋体" w:cs="宋体"/>
          <w:color w:val="auto"/>
          <w:sz w:val="24"/>
          <w:szCs w:val="24"/>
          <w:highlight w:val="none"/>
        </w:rPr>
        <w:t>一、评审要求</w:t>
      </w:r>
      <w:bookmarkEnd w:id="14"/>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1.评审方法</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采购包1化州市妇幼保健院绩效管理体系建设项目：综合评分法,是指响应文件满足磋商文件全部实质性要求，且按照评审因素的量化指标评审得分最高的供应商为成交候选人的评标方法。（最低报价不是成交的唯一依据。）</w:t>
      </w: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2.评审原则</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2.1评审活动遵循公平、公正、科学和择优的原则，以磋商文件和响应文件为评审的基本依据，并按照磋商文件规定的评审方法和评审标准进行评审。</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3.磋商小组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3.1磋商小组由采购人代表和评审专家组成，成员人数应当为3人及以上单数，其中技术、经济等方面的评审专家不得少于成员总数的三分之二。</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3.2评审应遵守下列评审纪律：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（1）评审情况不得私自外泄，有关信息由广东正联德工程咨询有限公司统一对外发布。</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（2）对广东正联德工程咨询有限公司或供应商提供的要求保密的资料，不得摘记翻印和外传。</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（3）不得收受响应供应商或有关人员的任何礼物，不得串联鼓动其他人袒护某供应商。若与供应商存在利害关系，则应主动声明并回避。</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（4）全体磋商小组应按照磋商文件规定进行评审，一切认定事项应查有实据且不得弄虚作假。</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（5）磋商小组各成员应当独立对每个响应供应商的响应文件进行评价，并对评价意见承担个人责任。评审过程中，不得发表倾向性言论。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※对违反评审纪律的磋商小组，将取消其磋商小组资格，对评审工作造成严重损失者将予以通报批评乃至追究法律责任。</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4.有下列情形之一的，视为供应商串通响应，其响应无效</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4.1不同供应商的响应文件由同一单位或者个人编制；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4.2不同供应商委托同一单位或者个人办理响应事宜；</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4.3不同供应商的响应文件载明的项目管理成员或者联系人员为同一人；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4.4不同供应商的响应文件异常一致或者响应报价呈规律性差异；</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4.5不同供应商的响应文件相互混装；</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4.6不同供应商的响应保证金或购买电子保函支付款为从同一单位或个人的账户转出。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4.7供应商上传的电子响应文件使用该项目其他响应供应商的数字证书加密的或加盖该项目的其他响应供应商的电子印章的。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说明：在评审过程中发现供应商有上述情形的，磋商小组应当认定其响应无效。同时，项目评审时被认定为串通响应的供应商不得参加该合同项下的采购活动。</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5.有下列情形之一的，属于恶意串通响应：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（1）供应商直接或者间接从采购人或者采购代理机构处获得其他供应商的相关情况并修改其响应文件；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（2）供应商按照采购人或者采购代理机构的授意撤换、修改响应文件；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（3）供应商之间协商报价、技术方案等响应文件的实质性内容；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（4）属于同一集团、协会、商会等组织成员的供应商按照该组织要求协同参加政府采购活动；</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（5）供应商之间事先约定由某一特定供应商成交；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（6）供应商之间商定部分供应商放弃参加政府采购活动或者放弃成交；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（7）供应商与采购人或者采购代理机构之间、供应商相互之间，为谋求特定供应商成交或者排斥其他供应商的其他串通行为。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6.其他响应无效的情形</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详见资格性审查、符合性审查和磋商文件其他响应无效条款。</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7.终止竞争性磋商采购活动的情形</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（1）因情况变化，不再符合规定的竞争性磋商采购方式适用情形的；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（5）法律、法规以及磋商文件规定其他情形。</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对终止采购的项目，磋商小组应出具采购文件是否存在不合理条款的论证意见。</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8.确定成交供应商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磋商小组按照磋商文件确定的评审方法、步骤、标准，对响应文件进行评审。评审结束后，对供应商的评审名次进行排序，确定成交供应商或者推荐成交候选供应商。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9.价格修正</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对报价的计算错误按以下原则修正：</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（1）响应文件中首轮报价表（报价表）内容与响应文件中相应内容不一致的，以首轮报价表（报价表）为准；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（3）单价金额小数点或者百分比有明显错位的，以首轮报价表的总价为准，并修改单价；</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（4）总价金额与按单价汇总金额不一致的，以单价金额计算结果为准。但是单价金额计算结果超过预算价的，对其按无效响应处理；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（5）若响应客户端上传的电子报价数据与电子响应文件价格不一致的，以电子报价数据为准。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3"/>
        <w:spacing w:before="0" w:after="0"/>
        <w:rPr>
          <w:rFonts w:ascii="宋体" w:hAnsi="宋体" w:eastAsia="宋体" w:cs="宋体"/>
          <w:color w:val="auto"/>
          <w:sz w:val="24"/>
          <w:szCs w:val="24"/>
          <w:highlight w:val="none"/>
        </w:rPr>
      </w:pPr>
      <w:bookmarkStart w:id="15" w:name="_Toc123557080"/>
      <w:r>
        <w:rPr>
          <w:rFonts w:hint="eastAsia" w:ascii="宋体" w:hAnsi="宋体" w:eastAsia="宋体" w:cs="宋体"/>
          <w:color w:val="auto"/>
          <w:sz w:val="24"/>
          <w:szCs w:val="24"/>
          <w:highlight w:val="none"/>
        </w:rPr>
        <w:t>二.政府采购政策落实</w:t>
      </w:r>
      <w:bookmarkEnd w:id="15"/>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1.节能、环保要求</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相关认证机构和获证产品信息以市场监管总局组织建立的节能产品、环境标志产品认证结果信息发布平台公布为准。</w:t>
      </w: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2.对小型、微型企业、监狱企业或残疾人福利性单位给予价格扣除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依照《政府采购促进中小企业发展管理办法》、《支持监狱企业发展有关问题的通知》和《财政部 民政部</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3.价格扣除相关要求</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采购包1（化州市妇幼保健院绩效管理体系建设项目）：</w:t>
      </w:r>
    </w:p>
    <w:tbl>
      <w:tblPr>
        <w:tblStyle w:val="13"/>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1"/>
        <w:gridCol w:w="2160"/>
        <w:gridCol w:w="2160"/>
        <w:gridCol w:w="1617"/>
        <w:gridCol w:w="1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81"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2160" w:type="dxa"/>
            <w:tcBorders>
              <w:top w:val="single" w:color="auto" w:sz="2" w:space="0"/>
              <w:left w:val="nil"/>
              <w:bottom w:val="single" w:color="auto" w:sz="2" w:space="0"/>
              <w:right w:val="single" w:color="auto" w:sz="2" w:space="0"/>
            </w:tcBorders>
            <w:tcMar>
              <w:left w:w="108" w:type="dxa"/>
              <w:right w:w="108" w:type="dxa"/>
            </w:tcMar>
          </w:tcPr>
          <w:p>
            <w:pPr>
              <w:spacing w:line="360" w:lineRule="auto"/>
              <w:ind w:firstLine="480"/>
              <w:jc w:val="center"/>
              <w:rPr>
                <w:rFonts w:ascii="宋体" w:hAnsi="宋体" w:cs="宋体"/>
                <w:color w:val="auto"/>
                <w:sz w:val="18"/>
                <w:szCs w:val="18"/>
                <w:highlight w:val="none"/>
              </w:rPr>
            </w:pPr>
            <w:r>
              <w:rPr>
                <w:rFonts w:hint="eastAsia" w:ascii="宋体" w:hAnsi="宋体" w:cs="宋体"/>
                <w:color w:val="auto"/>
                <w:sz w:val="18"/>
                <w:szCs w:val="18"/>
                <w:highlight w:val="none"/>
              </w:rPr>
              <w:t>情形</w:t>
            </w:r>
          </w:p>
        </w:tc>
        <w:tc>
          <w:tcPr>
            <w:tcW w:w="2160" w:type="dxa"/>
            <w:tcBorders>
              <w:top w:val="single" w:color="auto" w:sz="2" w:space="0"/>
              <w:left w:val="nil"/>
              <w:bottom w:val="single" w:color="auto" w:sz="2" w:space="0"/>
              <w:right w:val="single" w:color="auto" w:sz="2" w:space="0"/>
            </w:tcBorders>
            <w:tcMar>
              <w:left w:w="108" w:type="dxa"/>
              <w:right w:w="108" w:type="dxa"/>
            </w:tcMar>
          </w:tcPr>
          <w:p>
            <w:pPr>
              <w:spacing w:line="360" w:lineRule="auto"/>
              <w:ind w:firstLine="480"/>
              <w:rPr>
                <w:rFonts w:ascii="宋体" w:hAnsi="宋体" w:cs="宋体"/>
                <w:color w:val="auto"/>
                <w:sz w:val="18"/>
                <w:szCs w:val="18"/>
                <w:highlight w:val="none"/>
              </w:rPr>
            </w:pPr>
            <w:r>
              <w:rPr>
                <w:rFonts w:hint="eastAsia" w:ascii="宋体" w:hAnsi="宋体" w:cs="宋体"/>
                <w:color w:val="auto"/>
                <w:sz w:val="18"/>
                <w:szCs w:val="18"/>
                <w:highlight w:val="none"/>
              </w:rPr>
              <w:t>适用对象</w:t>
            </w:r>
          </w:p>
        </w:tc>
        <w:tc>
          <w:tcPr>
            <w:tcW w:w="1617" w:type="dxa"/>
            <w:tcBorders>
              <w:top w:val="single" w:color="auto" w:sz="2" w:space="0"/>
              <w:left w:val="nil"/>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价格扣除比例</w:t>
            </w:r>
          </w:p>
        </w:tc>
        <w:tc>
          <w:tcPr>
            <w:tcW w:w="1789" w:type="dxa"/>
            <w:tcBorders>
              <w:top w:val="single" w:color="auto" w:sz="2" w:space="0"/>
              <w:left w:val="nil"/>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计算公式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81" w:type="dxa"/>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sz w:val="18"/>
                <w:szCs w:val="18"/>
                <w:highlight w:val="none"/>
              </w:rPr>
            </w:pPr>
          </w:p>
        </w:tc>
        <w:tc>
          <w:tcPr>
            <w:tcW w:w="2160" w:type="dxa"/>
            <w:tcBorders>
              <w:top w:val="single" w:color="auto" w:sz="2" w:space="0"/>
              <w:left w:val="nil"/>
              <w:bottom w:val="single" w:color="auto" w:sz="2" w:space="0"/>
              <w:right w:val="single" w:color="auto" w:sz="2" w:space="0"/>
            </w:tcBorders>
            <w:tcMar>
              <w:left w:w="108" w:type="dxa"/>
              <w:right w:w="108" w:type="dxa"/>
            </w:tcMar>
          </w:tcPr>
          <w:p>
            <w:pPr>
              <w:spacing w:line="360" w:lineRule="auto"/>
              <w:ind w:firstLine="480"/>
              <w:jc w:val="center"/>
              <w:rPr>
                <w:rFonts w:ascii="宋体" w:hAnsi="宋体" w:cs="宋体"/>
                <w:color w:val="auto"/>
                <w:sz w:val="18"/>
                <w:szCs w:val="18"/>
                <w:highlight w:val="none"/>
              </w:rPr>
            </w:pPr>
          </w:p>
        </w:tc>
        <w:tc>
          <w:tcPr>
            <w:tcW w:w="2160" w:type="dxa"/>
            <w:tcBorders>
              <w:top w:val="single" w:color="auto" w:sz="2" w:space="0"/>
              <w:left w:val="nil"/>
              <w:bottom w:val="single" w:color="auto" w:sz="2" w:space="0"/>
              <w:right w:val="single" w:color="auto" w:sz="2" w:space="0"/>
            </w:tcBorders>
            <w:tcMar>
              <w:left w:w="108" w:type="dxa"/>
              <w:right w:w="108" w:type="dxa"/>
            </w:tcMar>
          </w:tcPr>
          <w:p>
            <w:pPr>
              <w:spacing w:line="360" w:lineRule="auto"/>
              <w:ind w:firstLine="480"/>
              <w:rPr>
                <w:rFonts w:ascii="宋体" w:hAnsi="宋体" w:cs="宋体"/>
                <w:color w:val="auto"/>
                <w:sz w:val="18"/>
                <w:szCs w:val="18"/>
                <w:highlight w:val="none"/>
              </w:rPr>
            </w:pPr>
          </w:p>
        </w:tc>
        <w:tc>
          <w:tcPr>
            <w:tcW w:w="1617" w:type="dxa"/>
            <w:tcBorders>
              <w:top w:val="single" w:color="auto" w:sz="2" w:space="0"/>
              <w:left w:val="nil"/>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sz w:val="18"/>
                <w:szCs w:val="18"/>
                <w:highlight w:val="none"/>
              </w:rPr>
            </w:pPr>
          </w:p>
        </w:tc>
        <w:tc>
          <w:tcPr>
            <w:tcW w:w="1789" w:type="dxa"/>
            <w:tcBorders>
              <w:top w:val="single" w:color="auto" w:sz="2" w:space="0"/>
              <w:left w:val="nil"/>
              <w:bottom w:val="single" w:color="auto" w:sz="2" w:space="0"/>
              <w:right w:val="single" w:color="auto" w:sz="2" w:space="0"/>
            </w:tcBorders>
            <w:tcMar>
              <w:left w:w="108" w:type="dxa"/>
              <w:right w:w="108" w:type="dxa"/>
            </w:tcMar>
          </w:tcPr>
          <w:p>
            <w:pPr>
              <w:spacing w:line="360" w:lineRule="auto"/>
              <w:jc w:val="center"/>
              <w:rPr>
                <w:rFonts w:ascii="宋体" w:hAnsi="宋体" w:cs="宋体"/>
                <w:color w:val="auto"/>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307" w:type="dxa"/>
            <w:gridSpan w:val="5"/>
            <w:tcBorders>
              <w:top w:val="single" w:color="auto" w:sz="2" w:space="0"/>
              <w:left w:val="single" w:color="auto" w:sz="2" w:space="0"/>
              <w:bottom w:val="single" w:color="auto" w:sz="2" w:space="0"/>
              <w:right w:val="single" w:color="auto" w:sz="2" w:space="0"/>
            </w:tcBorders>
            <w:tcMar>
              <w:left w:w="108" w:type="dxa"/>
              <w:right w:w="108" w:type="dxa"/>
            </w:tcMar>
          </w:tcPr>
          <w:p>
            <w:pPr>
              <w:spacing w:line="360" w:lineRule="auto"/>
              <w:ind w:firstLine="480"/>
              <w:rPr>
                <w:rFonts w:ascii="宋体" w:hAnsi="宋体" w:cs="宋体"/>
                <w:color w:val="auto"/>
                <w:sz w:val="18"/>
                <w:szCs w:val="18"/>
                <w:highlight w:val="none"/>
              </w:rPr>
            </w:pPr>
            <w:r>
              <w:rPr>
                <w:rFonts w:hint="eastAsia" w:ascii="宋体" w:hAnsi="宋体" w:cs="宋体"/>
                <w:color w:val="auto"/>
                <w:sz w:val="18"/>
                <w:szCs w:val="18"/>
                <w:highlight w:val="none"/>
              </w:rPr>
              <w:t>注：（1）上述评标价仅用于计算价格评分，成交金额以实际响应（响应）价为准。</w:t>
            </w:r>
            <w:r>
              <w:rPr>
                <w:rFonts w:hint="eastAsia" w:ascii="宋体" w:hAnsi="宋体" w:cs="宋体"/>
                <w:color w:val="auto"/>
                <w:sz w:val="18"/>
                <w:szCs w:val="18"/>
                <w:highlight w:val="none"/>
              </w:rPr>
              <w:tab/>
            </w:r>
            <w:r>
              <w:rPr>
                <w:rFonts w:hint="eastAsia" w:ascii="宋体" w:hAnsi="宋体" w:cs="宋体"/>
                <w:color w:val="auto"/>
                <w:sz w:val="18"/>
                <w:szCs w:val="18"/>
                <w:highlight w:val="none"/>
              </w:rPr>
              <w:tab/>
            </w:r>
            <w:r>
              <w:rPr>
                <w:rFonts w:hint="eastAsia" w:ascii="宋体" w:hAnsi="宋体" w:cs="宋体"/>
                <w:color w:val="auto"/>
                <w:sz w:val="18"/>
                <w:szCs w:val="18"/>
                <w:highlight w:val="none"/>
              </w:rPr>
              <w:tab/>
            </w:r>
            <w:r>
              <w:rPr>
                <w:rFonts w:hint="eastAsia" w:ascii="宋体" w:hAnsi="宋体" w:cs="宋体"/>
                <w:color w:val="auto"/>
                <w:sz w:val="18"/>
                <w:szCs w:val="18"/>
                <w:highlight w:val="none"/>
              </w:rPr>
              <w:tab/>
            </w:r>
            <w:r>
              <w:rPr>
                <w:rFonts w:hint="eastAsia" w:ascii="宋体" w:hAnsi="宋体" w:cs="宋体"/>
                <w:color w:val="auto"/>
                <w:sz w:val="18"/>
                <w:szCs w:val="18"/>
                <w:highlight w:val="none"/>
              </w:rPr>
              <w:tab/>
            </w:r>
            <w:r>
              <w:rPr>
                <w:rFonts w:hint="eastAsia" w:ascii="宋体" w:hAnsi="宋体" w:cs="宋体"/>
                <w:color w:val="auto"/>
                <w:sz w:val="18"/>
                <w:szCs w:val="18"/>
                <w:highlight w:val="none"/>
              </w:rPr>
              <w:t xml:space="preserve"> （2）组成联合体或者接受分包的小微企业与联合体内其他企业、分包企业之间存在直接控股、管理关系的，不享受价格扣除优惠政策。</w:t>
            </w:r>
          </w:p>
        </w:tc>
      </w:tr>
    </w:tbl>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（1）所称小型和微型企业应当符合以下条件：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符合中小企业划分标准的个体工商户，在政府采购活动中视同中小企业。</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提供本企业（属于小微企业）制造的货物或者提供其他小型或微型企业制造的货物/提供本企业（属于小微企业）承接的服务。</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说明：供应商应当对其出具的《中小企业声明函》真实性负责，供应商出具的《中小企业声明函》内容不实的，属于提供虚假材料谋取成交。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响应（响应）供应商统一在一份《中小企业声明函》中说明联合体各方的中小微情况：包括联合体各方均为小型、微型企业的，及中小微企业作为联合体一方参与政府采购活动，且共同响应协议书中约定，小型、微型企业的协议合同金额占到联合体协议合同总金额30%以上的。</w:t>
      </w:r>
    </w:p>
    <w:p>
      <w:pPr>
        <w:pStyle w:val="3"/>
        <w:spacing w:before="0" w:after="0"/>
        <w:rPr>
          <w:rFonts w:ascii="宋体" w:hAnsi="宋体" w:eastAsia="宋体" w:cs="宋体"/>
          <w:color w:val="auto"/>
          <w:sz w:val="24"/>
          <w:szCs w:val="24"/>
          <w:highlight w:val="none"/>
        </w:rPr>
      </w:pPr>
      <w:bookmarkStart w:id="16" w:name="_Toc123557081"/>
      <w:r>
        <w:rPr>
          <w:rFonts w:hint="eastAsia" w:ascii="宋体" w:hAnsi="宋体" w:eastAsia="宋体" w:cs="宋体"/>
          <w:color w:val="auto"/>
          <w:sz w:val="24"/>
          <w:szCs w:val="24"/>
          <w:highlight w:val="none"/>
        </w:rPr>
        <w:t>三、评审程序</w:t>
      </w:r>
      <w:bookmarkEnd w:id="16"/>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1.资格性审查和符合性审查</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spacing w:line="360" w:lineRule="auto"/>
        <w:ind w:firstLine="480"/>
        <w:rPr>
          <w:rFonts w:ascii="宋体" w:hAnsi="宋体" w:cs="宋体"/>
          <w:color w:val="auto"/>
          <w:sz w:val="24"/>
          <w:szCs w:val="24"/>
          <w:highlight w:val="none"/>
        </w:rPr>
      </w:pPr>
      <w:r>
        <w:rPr>
          <w:rFonts w:hint="eastAsia" w:ascii="宋体" w:hAnsi="宋体" w:cs="宋体"/>
          <w:b/>
          <w:color w:val="auto"/>
          <w:sz w:val="24"/>
          <w:szCs w:val="24"/>
          <w:highlight w:val="none"/>
        </w:rPr>
        <w:t>表一资格性审查表：</w:t>
      </w:r>
    </w:p>
    <w:p>
      <w:pPr>
        <w:spacing w:line="360" w:lineRule="auto"/>
        <w:ind w:firstLine="480"/>
        <w:rPr>
          <w:rFonts w:ascii="宋体" w:hAnsi="宋体" w:cs="宋体"/>
          <w:b/>
          <w:color w:val="auto"/>
          <w:sz w:val="24"/>
          <w:szCs w:val="24"/>
          <w:highlight w:val="none"/>
        </w:rPr>
      </w:pPr>
    </w:p>
    <w:tbl>
      <w:tblPr>
        <w:tblStyle w:val="13"/>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6344"/>
        <w:gridCol w:w="971"/>
        <w:gridCol w:w="864"/>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 w:hRule="atLeast"/>
          <w:tblHeader/>
          <w:jc w:val="center"/>
        </w:trPr>
        <w:tc>
          <w:tcPr>
            <w:tcW w:w="9813" w:type="dxa"/>
            <w:gridSpan w:val="5"/>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spacing w:line="276" w:lineRule="auto"/>
              <w:jc w:val="center"/>
              <w:rPr>
                <w:rFonts w:ascii="宋体" w:hAnsi="宋体" w:cs="宋体"/>
                <w:b/>
                <w:color w:val="auto"/>
                <w:sz w:val="24"/>
                <w:szCs w:val="24"/>
                <w:highlight w:val="none"/>
                <w:lang w:val="en-GB"/>
              </w:rPr>
            </w:pPr>
            <w:r>
              <w:rPr>
                <w:rFonts w:hint="eastAsia" w:ascii="宋体" w:hAnsi="宋体" w:cs="宋体"/>
                <w:b/>
                <w:color w:val="auto"/>
                <w:sz w:val="24"/>
                <w:szCs w:val="24"/>
                <w:highlight w:val="none"/>
                <w:lang w:val="en-GB"/>
              </w:rPr>
              <w:t>资格性审查表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 w:hRule="atLeast"/>
          <w:jc w:val="center"/>
        </w:trPr>
        <w:tc>
          <w:tcPr>
            <w:tcW w:w="757"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344"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评审内容</w:t>
            </w:r>
          </w:p>
        </w:tc>
        <w:tc>
          <w:tcPr>
            <w:tcW w:w="971"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A公司</w:t>
            </w:r>
          </w:p>
        </w:tc>
        <w:tc>
          <w:tcPr>
            <w:tcW w:w="864"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B公司</w:t>
            </w:r>
          </w:p>
        </w:tc>
        <w:tc>
          <w:tcPr>
            <w:tcW w:w="877"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C公司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2"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1</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具有独立承担民事责任的能力：在中华人民共和国境内注册的法人或其他组织或自然人， 响应（响应）时提交有效的营业执照（或事业法人登记证或身份证等相关证明） 副本复印件。分支机构响应的，须提供总公司和分公司营业执照副本复印件，总公司出具给分支机构的授权书。</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2</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具有良好的商业信誉和健全的财务会计制度：提供2021年度财务报告（表）或基本开户银行出具的银行资信证明；新成立的企业提供成立至今的财务报告（表）或基本开户银行出具的银行资信证明。</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9"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3</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具有履行合同所必须的设备和专业技术能力：提供履行合同所必需的设备和专业技术能力的书面声明或其他证明材料。</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4</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有依法缴纳税收和社会保障资金的良好记录：提供响应截止日前6个月内任意1个月的缴纳税收和社会保险的相关证明材料；如依法免税或不需要缴纳社保的，应提供相应文件证明。</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5</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参加采购活动前3年内，在经营活动中没有重大违法记录：参照响应（报价）函相关承诺格式内容。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6</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法律、行政法规规定的其他条件：①为本项目提供整体设计、规范编制或者项目管理、监理、检测等服务的供应商，不得再参与本项目响应：提供书面声明，格式自拟；②单位负责人为同一人或者存在直接控股、管理关系的不同供应商，不得同时参加本采购项目响应（提供书面声明，格式自拟）。</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7</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供应商未被列入“信用中国”网站(www.creditchina.gov.cn)“记录失信被执行人或税收违法失信主体”记录名单；不处于中国政府采购网(www.ccgp.gov.cn)“政府采购严重违法失信行为信息记录”中的禁止参加政府采购活动期间。（以采购代理机构于响应（响应）截止时间当天在“信用中国”网站（www.creditchina.gov.cn）及中国政府采购网（http://www.ccgp.gov.cn/）查询结果为准，如相关失信记录已失效，供应商需提供相关证明资料）。</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75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8</w:t>
            </w:r>
          </w:p>
        </w:tc>
        <w:tc>
          <w:tcPr>
            <w:tcW w:w="634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rPr>
                <w:rFonts w:ascii="宋体" w:hAnsi="宋体" w:cs="宋体"/>
                <w:color w:val="auto"/>
                <w:sz w:val="20"/>
                <w:szCs w:val="20"/>
                <w:highlight w:val="none"/>
                <w:lang w:val="zh-CN"/>
              </w:rPr>
            </w:pPr>
            <w:r>
              <w:rPr>
                <w:rFonts w:hint="eastAsia" w:ascii="宋体" w:hAnsi="宋体" w:cs="宋体"/>
                <w:color w:val="auto"/>
                <w:sz w:val="20"/>
                <w:szCs w:val="20"/>
                <w:highlight w:val="none"/>
                <w:lang w:val="zh-CN"/>
              </w:rPr>
              <w:t>本项目不接受联合体响应：提供书面承诺函。</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2" w:hRule="atLeast"/>
          <w:jc w:val="center"/>
        </w:trPr>
        <w:tc>
          <w:tcPr>
            <w:tcW w:w="7101"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结论</w:t>
            </w:r>
          </w:p>
        </w:tc>
        <w:tc>
          <w:tcPr>
            <w:tcW w:w="9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c>
          <w:tcPr>
            <w:tcW w:w="8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276" w:lineRule="auto"/>
              <w:jc w:val="center"/>
              <w:rPr>
                <w:rFonts w:ascii="宋体" w:hAnsi="宋体" w:cs="宋体"/>
                <w:color w:val="auto"/>
                <w:sz w:val="24"/>
                <w:szCs w:val="24"/>
                <w:highlight w:val="none"/>
              </w:rPr>
            </w:pPr>
          </w:p>
        </w:tc>
      </w:tr>
    </w:tbl>
    <w:p>
      <w:pPr>
        <w:rPr>
          <w:rFonts w:ascii="宋体" w:hAnsi="宋体" w:cs="宋体"/>
          <w:color w:val="auto"/>
          <w:sz w:val="22"/>
          <w:szCs w:val="22"/>
          <w:highlight w:val="none"/>
        </w:rPr>
      </w:pPr>
      <w:r>
        <w:rPr>
          <w:rFonts w:hint="eastAsia" w:ascii="宋体" w:hAnsi="宋体" w:cs="宋体"/>
          <w:color w:val="auto"/>
          <w:sz w:val="22"/>
          <w:szCs w:val="22"/>
          <w:highlight w:val="none"/>
        </w:rPr>
        <w:t>注：1.磋商小组依法对供应商的资格进行审查。结论为合格的供应商进入磋商环节（符合性审查、商务评议和技术评议），合格供应商不足3家的，不得磋商。</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2.供应商分栏中填写“√”表示该项符合采购文件要求，“×”表示该项不符合采购文件要求；</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3.结论栏中填写“通过”表示该供应商响应文件符合采购文件要求，“不通过”表示该供应商响应文件不符合采购文件要求。</w:t>
      </w:r>
    </w:p>
    <w:p>
      <w:pPr>
        <w:spacing w:line="360" w:lineRule="auto"/>
        <w:ind w:firstLine="480"/>
        <w:rPr>
          <w:rFonts w:ascii="宋体" w:hAnsi="宋体" w:cs="宋体"/>
          <w:color w:val="auto"/>
          <w:sz w:val="24"/>
          <w:szCs w:val="24"/>
          <w:highlight w:val="none"/>
        </w:rPr>
      </w:pP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表二符合性审查表：</w:t>
      </w:r>
    </w:p>
    <w:tbl>
      <w:tblPr>
        <w:tblStyle w:val="13"/>
        <w:tblW w:w="9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4277"/>
        <w:gridCol w:w="1560"/>
        <w:gridCol w:w="1682"/>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9314"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spacing w:line="360" w:lineRule="auto"/>
              <w:jc w:val="center"/>
              <w:rPr>
                <w:rFonts w:ascii="宋体" w:hAnsi="宋体" w:cs="宋体"/>
                <w:b/>
                <w:color w:val="auto"/>
                <w:sz w:val="18"/>
                <w:szCs w:val="18"/>
                <w:highlight w:val="none"/>
                <w:lang w:val="en-GB"/>
              </w:rPr>
            </w:pPr>
            <w:r>
              <w:rPr>
                <w:rFonts w:hint="eastAsia" w:ascii="宋体" w:hAnsi="宋体" w:cs="宋体"/>
                <w:b/>
                <w:color w:val="auto"/>
                <w:sz w:val="18"/>
                <w:szCs w:val="18"/>
                <w:highlight w:val="none"/>
                <w:lang w:val="en-GB"/>
              </w:rPr>
              <w:t>符合性审查表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821"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4277"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评审内容</w:t>
            </w:r>
          </w:p>
        </w:tc>
        <w:tc>
          <w:tcPr>
            <w:tcW w:w="1560"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A公司</w:t>
            </w:r>
          </w:p>
        </w:tc>
        <w:tc>
          <w:tcPr>
            <w:tcW w:w="1682"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B公司</w:t>
            </w:r>
          </w:p>
        </w:tc>
        <w:tc>
          <w:tcPr>
            <w:tcW w:w="974" w:type="dxa"/>
            <w:tcBorders>
              <w:top w:val="single" w:color="auto" w:sz="4" w:space="0"/>
              <w:left w:val="single" w:color="auto" w:sz="4" w:space="0"/>
              <w:bottom w:val="single" w:color="auto" w:sz="4" w:space="0"/>
              <w:right w:val="single" w:color="auto" w:sz="4" w:space="0"/>
            </w:tcBorders>
            <w:shd w:val="clear" w:color="000000" w:fill="BDD6EE" w:themeFill="accent1" w:themeFillTint="66"/>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C公司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atLeast"/>
          <w:jc w:val="center"/>
        </w:trPr>
        <w:tc>
          <w:tcPr>
            <w:tcW w:w="8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42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rPr>
                <w:rFonts w:ascii="宋体" w:hAnsi="宋体" w:cs="宋体"/>
                <w:color w:val="auto"/>
                <w:sz w:val="18"/>
                <w:szCs w:val="18"/>
                <w:highlight w:val="none"/>
              </w:rPr>
            </w:pPr>
            <w:r>
              <w:rPr>
                <w:rFonts w:hint="eastAsia" w:ascii="宋体" w:hAnsi="宋体" w:cs="宋体"/>
                <w:color w:val="auto"/>
                <w:sz w:val="18"/>
                <w:szCs w:val="18"/>
                <w:highlight w:val="none"/>
              </w:rPr>
              <w:t>响应有效期是否符合要求</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16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97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atLeast"/>
          <w:jc w:val="center"/>
        </w:trPr>
        <w:tc>
          <w:tcPr>
            <w:tcW w:w="8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42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rPr>
                <w:rFonts w:ascii="宋体" w:hAnsi="宋体" w:cs="宋体"/>
                <w:color w:val="auto"/>
                <w:sz w:val="18"/>
                <w:szCs w:val="18"/>
                <w:highlight w:val="none"/>
              </w:rPr>
            </w:pPr>
            <w:r>
              <w:rPr>
                <w:rFonts w:hint="eastAsia" w:ascii="宋体" w:hAnsi="宋体" w:cs="宋体"/>
                <w:color w:val="auto"/>
                <w:sz w:val="18"/>
                <w:szCs w:val="18"/>
                <w:highlight w:val="none"/>
              </w:rPr>
              <w:t>响应文件符合采购文件的签署和盖章要求</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16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97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atLeast"/>
          <w:jc w:val="center"/>
        </w:trPr>
        <w:tc>
          <w:tcPr>
            <w:tcW w:w="8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42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rPr>
                <w:rFonts w:ascii="宋体" w:hAnsi="宋体" w:cs="宋体"/>
                <w:color w:val="auto"/>
                <w:sz w:val="18"/>
                <w:szCs w:val="18"/>
                <w:highlight w:val="none"/>
              </w:rPr>
            </w:pPr>
            <w:r>
              <w:rPr>
                <w:rFonts w:hint="eastAsia" w:ascii="宋体" w:hAnsi="宋体" w:cs="宋体"/>
                <w:color w:val="auto"/>
                <w:sz w:val="18"/>
                <w:szCs w:val="18"/>
                <w:highlight w:val="none"/>
              </w:rPr>
              <w:t>响应文件完全影响实质性条款</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16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97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atLeast"/>
          <w:jc w:val="center"/>
        </w:trPr>
        <w:tc>
          <w:tcPr>
            <w:tcW w:w="8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42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rPr>
                <w:rFonts w:ascii="宋体" w:hAnsi="宋体" w:cs="宋体"/>
                <w:color w:val="auto"/>
                <w:sz w:val="18"/>
                <w:szCs w:val="18"/>
                <w:highlight w:val="none"/>
              </w:rPr>
            </w:pPr>
            <w:r>
              <w:rPr>
                <w:rFonts w:hint="eastAsia" w:ascii="宋体" w:hAnsi="宋体" w:cs="宋体"/>
                <w:color w:val="auto"/>
                <w:sz w:val="18"/>
                <w:szCs w:val="18"/>
                <w:highlight w:val="none"/>
              </w:rPr>
              <w:t>响应文件无经评委认定为无效响应的其它条款的</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16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97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3" w:hRule="atLeast"/>
          <w:jc w:val="center"/>
        </w:trPr>
        <w:tc>
          <w:tcPr>
            <w:tcW w:w="8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427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rPr>
                <w:rFonts w:ascii="宋体" w:hAnsi="宋体" w:cs="宋体"/>
                <w:color w:val="auto"/>
                <w:sz w:val="18"/>
                <w:szCs w:val="18"/>
                <w:highlight w:val="none"/>
              </w:rPr>
            </w:pPr>
            <w:r>
              <w:rPr>
                <w:rFonts w:hint="eastAsia" w:ascii="宋体" w:hAnsi="宋体" w:cs="宋体"/>
                <w:color w:val="auto"/>
                <w:sz w:val="18"/>
                <w:szCs w:val="18"/>
                <w:highlight w:val="none"/>
              </w:rPr>
              <w:t>实质性响应采购文件技术与商务的（即标注★号条款）条款</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16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97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3" w:hRule="atLeast"/>
          <w:jc w:val="center"/>
        </w:trPr>
        <w:tc>
          <w:tcPr>
            <w:tcW w:w="509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r>
              <w:rPr>
                <w:rFonts w:hint="eastAsia" w:ascii="宋体" w:hAnsi="宋体" w:cs="宋体"/>
                <w:color w:val="auto"/>
                <w:sz w:val="18"/>
                <w:szCs w:val="18"/>
                <w:highlight w:val="none"/>
              </w:rPr>
              <w:t>结论</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16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c>
          <w:tcPr>
            <w:tcW w:w="97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rPr>
                <w:rFonts w:ascii="宋体" w:hAnsi="宋体" w:cs="宋体"/>
                <w:color w:val="auto"/>
                <w:sz w:val="18"/>
                <w:szCs w:val="18"/>
                <w:highlight w:val="none"/>
              </w:rPr>
            </w:pPr>
          </w:p>
        </w:tc>
      </w:tr>
    </w:tbl>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注：1.供应商分栏中填写“√”表示该项符合采购文件要求，“×”表示该项不符合采购文件要求；</w:t>
      </w:r>
    </w:p>
    <w:p>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2.结论栏中填写“通过”表示该供应商响应文件符合采购文件要求，“不通过”表示该供应商响应文件不符合采购文件要求。</w:t>
      </w:r>
    </w:p>
    <w:p>
      <w:pPr>
        <w:spacing w:line="360" w:lineRule="auto"/>
        <w:ind w:firstLine="440"/>
        <w:rPr>
          <w:rFonts w:ascii="宋体" w:hAnsi="宋体" w:cs="宋体"/>
          <w:color w:val="auto"/>
          <w:sz w:val="22"/>
          <w:szCs w:val="22"/>
          <w:highlight w:val="none"/>
        </w:rPr>
      </w:pPr>
      <w:r>
        <w:rPr>
          <w:rFonts w:hint="eastAsia" w:ascii="宋体" w:hAnsi="宋体" w:cs="宋体"/>
          <w:color w:val="auto"/>
          <w:sz w:val="22"/>
          <w:szCs w:val="22"/>
          <w:highlight w:val="none"/>
        </w:rPr>
        <w:t>3.结论汇总意见采取少数服从多数原则，即超过半数专家的结论为“通过”则该供应商通过符合性审查，否则不通过。</w:t>
      </w: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2.响应文件澄清</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对于响应文件中含义不明确、同类问题表述不一致或者有明显文字和计算错误的内容，磋商小组可以书面形式（应当由磋商小组签字）要求供应音段作出必要的澄清、说明或者纠正，但不得允许供应商对响应报价等实质性内容做任何更改。供应商的澄清、说明或者补正应当采用书面形式，由其授权的代表签字，并不得超出响应文件的范围或者改变响应文件的实质性内容。有关澄清的答复均应由供应商的法定代表人或授权代表签字的书面形式作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若因供应商联系方式错误、未接听电话或超时未进行澄清（响应）造成的不利后果由供应商自行承担。供应商的澄清、说明或者补正不得超出响应文件的范围或者改变响应文件的实质性内容。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2.2磋商小组不接受供应商主动提出的澄清、说明或补正。</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2.3磋商小组对供应商提交的澄清、说明或补正有疑问的，可以要求供应商进一步澄清、说明或补正。</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2.4供应商的澄清文件是其响度文件的组成部分。</w:t>
      </w: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3.磋商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3.1磋商小组所有成员应当集中与单一供应商分别进行磋商，并给予所有参加磋商的供应商平等的磋商机会。</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3.3对磋商文件作出的实质性变动是磋商文件的有效组成部分，磋商小组应当及时、同时通知所有参加磋商的供应商。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4.最后报价</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4.1磋商结束后，磋商小组应当要求所有实质性响应的供应商在规定时间内提交最后报价。最后报价是供应商响应文件的有效组成部分。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4.2已提交响应文件的供应商，在提交最后报价之前，可以根据磋商情况退出磋商。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4.3除法规规定的特殊性情形外，提交最后报价的供应商不得少于3家。</w:t>
      </w:r>
    </w:p>
    <w:p>
      <w:pPr>
        <w:spacing w:line="360" w:lineRule="auto"/>
        <w:ind w:firstLine="480"/>
        <w:rPr>
          <w:rFonts w:ascii="宋体" w:hAnsi="宋体" w:cs="宋体"/>
          <w:color w:val="auto"/>
          <w:sz w:val="24"/>
          <w:szCs w:val="24"/>
          <w:highlight w:val="none"/>
          <w:lang w:val="en-GB"/>
        </w:rPr>
      </w:pPr>
      <w:r>
        <w:rPr>
          <w:rFonts w:hint="eastAsia" w:ascii="宋体" w:hAnsi="宋体" w:cs="宋体"/>
          <w:color w:val="auto"/>
          <w:sz w:val="24"/>
          <w:szCs w:val="24"/>
          <w:highlight w:val="none"/>
        </w:rPr>
        <w:t>5.详细评审</w:t>
      </w:r>
    </w:p>
    <w:tbl>
      <w:tblPr>
        <w:tblStyle w:val="1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8"/>
        <w:gridCol w:w="1501"/>
        <w:gridCol w:w="6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trPr>
        <w:tc>
          <w:tcPr>
            <w:tcW w:w="554" w:type="pct"/>
            <w:tcBorders>
              <w:top w:val="single" w:color="auto" w:sz="2" w:space="0"/>
              <w:left w:val="single" w:color="auto" w:sz="2" w:space="0"/>
              <w:bottom w:val="single" w:color="auto" w:sz="2" w:space="0"/>
              <w:right w:val="single" w:color="auto" w:sz="2" w:space="0"/>
            </w:tcBorders>
            <w:shd w:val="clear" w:color="000000" w:fill="BDD6EE" w:themeFill="accent1" w:themeFillTint="66"/>
            <w:tcMar>
              <w:left w:w="108" w:type="dxa"/>
              <w:right w:w="108" w:type="dxa"/>
            </w:tcMar>
          </w:tcPr>
          <w:p>
            <w:pPr>
              <w:jc w:val="center"/>
              <w:rPr>
                <w:rFonts w:ascii="宋体" w:hAnsi="宋体" w:cs="宋体"/>
                <w:color w:val="auto"/>
                <w:highlight w:val="none"/>
              </w:rPr>
            </w:pPr>
            <w:r>
              <w:rPr>
                <w:rFonts w:hint="eastAsia" w:ascii="宋体" w:hAnsi="宋体" w:cs="宋体"/>
                <w:color w:val="auto"/>
                <w:highlight w:val="none"/>
              </w:rPr>
              <w:t>评审因素</w:t>
            </w:r>
          </w:p>
        </w:tc>
        <w:tc>
          <w:tcPr>
            <w:tcW w:w="4445" w:type="pct"/>
            <w:gridSpan w:val="2"/>
            <w:tcBorders>
              <w:top w:val="single" w:color="auto" w:sz="2" w:space="0"/>
              <w:left w:val="nil"/>
              <w:bottom w:val="single" w:color="auto" w:sz="2" w:space="0"/>
              <w:right w:val="single" w:color="auto" w:sz="2" w:space="0"/>
            </w:tcBorders>
            <w:shd w:val="clear" w:color="000000" w:fill="BDD6EE" w:themeFill="accent1" w:themeFillTint="66"/>
            <w:tcMar>
              <w:left w:w="108" w:type="dxa"/>
              <w:right w:w="108" w:type="dxa"/>
            </w:tcMar>
          </w:tcPr>
          <w:p>
            <w:pPr>
              <w:jc w:val="center"/>
              <w:rPr>
                <w:rFonts w:ascii="宋体" w:hAnsi="宋体" w:cs="宋体"/>
                <w:color w:val="auto"/>
                <w:highlight w:val="none"/>
              </w:rPr>
            </w:pPr>
            <w:r>
              <w:rPr>
                <w:rFonts w:hint="eastAsia" w:ascii="宋体" w:hAnsi="宋体" w:cs="宋体"/>
                <w:color w:val="auto"/>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tcBorders>
              <w:top w:val="single" w:color="auto" w:sz="2" w:space="0"/>
              <w:left w:val="single" w:color="auto" w:sz="2" w:space="0"/>
              <w:bottom w:val="single" w:color="auto" w:sz="2" w:space="0"/>
              <w:right w:val="single" w:color="auto" w:sz="2" w:space="0"/>
            </w:tcBorders>
            <w:tcMar>
              <w:left w:w="108" w:type="dxa"/>
              <w:right w:w="108" w:type="dxa"/>
            </w:tcMar>
          </w:tcPr>
          <w:p>
            <w:pPr>
              <w:jc w:val="center"/>
              <w:rPr>
                <w:rFonts w:ascii="宋体" w:hAnsi="宋体" w:cs="宋体"/>
                <w:color w:val="auto"/>
                <w:highlight w:val="none"/>
              </w:rPr>
            </w:pPr>
            <w:r>
              <w:rPr>
                <w:rFonts w:hint="eastAsia" w:ascii="宋体" w:hAnsi="宋体" w:cs="宋体"/>
                <w:color w:val="auto"/>
                <w:highlight w:val="none"/>
              </w:rPr>
              <w:t>分值构成</w:t>
            </w:r>
          </w:p>
        </w:tc>
        <w:tc>
          <w:tcPr>
            <w:tcW w:w="4445" w:type="pct"/>
            <w:gridSpan w:val="2"/>
            <w:tcBorders>
              <w:top w:val="single" w:color="auto" w:sz="2" w:space="0"/>
              <w:left w:val="nil"/>
              <w:bottom w:val="single" w:color="auto" w:sz="2" w:space="0"/>
              <w:right w:val="single" w:color="auto" w:sz="2" w:space="0"/>
            </w:tcBorders>
            <w:tcMar>
              <w:left w:w="108" w:type="dxa"/>
              <w:right w:w="108" w:type="dxa"/>
            </w:tcMar>
          </w:tcPr>
          <w:p>
            <w:pPr>
              <w:rPr>
                <w:rFonts w:ascii="宋体" w:hAnsi="宋体" w:cs="宋体"/>
                <w:color w:val="auto"/>
                <w:highlight w:val="none"/>
              </w:rPr>
            </w:pPr>
            <w:r>
              <w:rPr>
                <w:rFonts w:hint="eastAsia" w:ascii="宋体" w:hAnsi="宋体" w:cs="宋体"/>
                <w:color w:val="auto"/>
                <w:highlight w:val="none"/>
              </w:rPr>
              <w:t>商务部分45.0分</w:t>
            </w:r>
          </w:p>
          <w:p>
            <w:pPr>
              <w:rPr>
                <w:rFonts w:ascii="宋体" w:hAnsi="宋体" w:cs="宋体"/>
                <w:color w:val="auto"/>
                <w:highlight w:val="none"/>
              </w:rPr>
            </w:pPr>
            <w:r>
              <w:rPr>
                <w:rFonts w:hint="eastAsia" w:ascii="宋体" w:hAnsi="宋体" w:cs="宋体"/>
                <w:color w:val="auto"/>
                <w:highlight w:val="none"/>
              </w:rPr>
              <w:t>技术部分55.0分</w:t>
            </w:r>
          </w:p>
          <w:p>
            <w:pPr>
              <w:rPr>
                <w:rFonts w:ascii="宋体" w:hAnsi="宋体" w:cs="宋体"/>
                <w:color w:val="auto"/>
                <w:highlight w:val="none"/>
              </w:rPr>
            </w:pPr>
            <w:r>
              <w:rPr>
                <w:rFonts w:hint="eastAsia" w:ascii="宋体" w:hAnsi="宋体" w:cs="宋体"/>
                <w:color w:val="auto"/>
                <w:highlight w:val="none"/>
              </w:rPr>
              <w:t>报价得分10.0分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vMerge w:val="restart"/>
            <w:tcBorders>
              <w:top w:val="nil"/>
              <w:left w:val="single" w:color="auto" w:sz="2" w:space="0"/>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技术部分</w:t>
            </w:r>
          </w:p>
        </w:tc>
        <w:tc>
          <w:tcPr>
            <w:tcW w:w="808" w:type="pct"/>
            <w:tcBorders>
              <w:top w:val="single" w:color="auto" w:sz="2" w:space="0"/>
              <w:left w:val="nil"/>
              <w:bottom w:val="single" w:color="auto" w:sz="2" w:space="0"/>
              <w:right w:val="single" w:color="auto" w:sz="2" w:space="0"/>
            </w:tcBorders>
            <w:tcMar>
              <w:left w:w="108" w:type="dxa"/>
              <w:right w:w="108" w:type="dxa"/>
            </w:tcMar>
          </w:tcPr>
          <w:p>
            <w:pPr>
              <w:rPr>
                <w:rFonts w:ascii="宋体" w:hAnsi="宋体" w:cs="宋体"/>
                <w:color w:val="auto"/>
                <w:highlight w:val="none"/>
              </w:rPr>
            </w:pPr>
            <w:r>
              <w:rPr>
                <w:rFonts w:hint="eastAsia" w:ascii="宋体" w:hAnsi="宋体" w:cs="宋体"/>
                <w:color w:val="auto"/>
                <w:highlight w:val="none"/>
              </w:rPr>
              <w:t>项目技术实施方案的评价 (40.0分)</w:t>
            </w:r>
          </w:p>
        </w:tc>
        <w:tc>
          <w:tcPr>
            <w:tcW w:w="3637" w:type="pct"/>
            <w:tcBorders>
              <w:top w:val="single" w:color="auto" w:sz="2" w:space="0"/>
              <w:left w:val="nil"/>
              <w:bottom w:val="single" w:color="auto" w:sz="2" w:space="0"/>
              <w:right w:val="single" w:color="auto" w:sz="2" w:space="0"/>
            </w:tcBorders>
            <w:tcMar>
              <w:left w:w="108" w:type="dxa"/>
              <w:right w:w="108" w:type="dxa"/>
            </w:tcMar>
          </w:tcPr>
          <w:p>
            <w:pPr>
              <w:ind w:firstLine="420"/>
              <w:rPr>
                <w:rFonts w:ascii="宋体" w:hAnsi="宋体" w:cs="宋体"/>
                <w:color w:val="auto"/>
                <w:highlight w:val="none"/>
              </w:rPr>
            </w:pPr>
            <w:r>
              <w:rPr>
                <w:rFonts w:hint="eastAsia" w:ascii="宋体" w:hAnsi="宋体" w:cs="宋体"/>
                <w:color w:val="auto"/>
                <w:highlight w:val="none"/>
              </w:rPr>
              <w:t>对供应商提供的服务方案进行评审，包含①项目调研方案；②医院成本控制方案；③医院绩效考核方案；④绩效分配方案（包含一次分配及二次分配）、⑤医疗数据分析方案、⑥培训计划、⑦项目工作全期工作规划、⑧成功案例分享及项目预期。方案具体详实、针对性强、采用绩效预算比例法、可操作性强，能最大限度的考虑采购人的具体情况，反映了采购人的实际需求和利益，进度计划措施得力的得40分，每有一项内容未提供或描述存在明显缺陷或描述不符合本项目采购特征的扣5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vMerge w:val="continue"/>
            <w:tcBorders>
              <w:top w:val="nil"/>
              <w:left w:val="single" w:color="auto" w:sz="2" w:space="0"/>
              <w:bottom w:val="single" w:color="auto" w:sz="2" w:space="0"/>
              <w:right w:val="single" w:color="auto" w:sz="2" w:space="0"/>
            </w:tcBorders>
            <w:vAlign w:val="center"/>
          </w:tcPr>
          <w:p>
            <w:pPr>
              <w:rPr>
                <w:rFonts w:ascii="宋体" w:hAnsi="宋体" w:cs="宋体"/>
                <w:color w:val="auto"/>
                <w:highlight w:val="none"/>
              </w:rPr>
            </w:pPr>
          </w:p>
        </w:tc>
        <w:tc>
          <w:tcPr>
            <w:tcW w:w="808" w:type="pct"/>
            <w:tcBorders>
              <w:top w:val="single" w:color="auto" w:sz="2" w:space="0"/>
              <w:left w:val="nil"/>
              <w:bottom w:val="single" w:color="auto" w:sz="2" w:space="0"/>
              <w:right w:val="single" w:color="auto" w:sz="2" w:space="0"/>
            </w:tcBorders>
            <w:tcMar>
              <w:left w:w="108" w:type="dxa"/>
              <w:right w:w="108" w:type="dxa"/>
            </w:tcMar>
          </w:tcPr>
          <w:p>
            <w:pPr>
              <w:rPr>
                <w:rFonts w:ascii="宋体" w:hAnsi="宋体" w:cs="宋体"/>
                <w:color w:val="auto"/>
                <w:highlight w:val="none"/>
              </w:rPr>
            </w:pPr>
            <w:r>
              <w:rPr>
                <w:rFonts w:hint="eastAsia" w:ascii="宋体" w:hAnsi="宋体" w:cs="宋体"/>
                <w:color w:val="auto"/>
                <w:highlight w:val="none"/>
              </w:rPr>
              <w:t>服务质量保障 (5.0分)</w:t>
            </w:r>
          </w:p>
        </w:tc>
        <w:tc>
          <w:tcPr>
            <w:tcW w:w="3637" w:type="pct"/>
            <w:tcBorders>
              <w:top w:val="single" w:color="auto" w:sz="2" w:space="0"/>
              <w:left w:val="nil"/>
              <w:bottom w:val="single" w:color="auto" w:sz="2" w:space="0"/>
              <w:right w:val="single" w:color="auto" w:sz="2" w:space="0"/>
            </w:tcBorders>
            <w:tcMar>
              <w:left w:w="108" w:type="dxa"/>
              <w:right w:w="108" w:type="dxa"/>
            </w:tcMar>
          </w:tcPr>
          <w:p>
            <w:pPr>
              <w:wordWrap w:val="0"/>
              <w:autoSpaceDE w:val="0"/>
              <w:snapToGrid w:val="0"/>
              <w:spacing w:before="36"/>
              <w:ind w:firstLine="420"/>
              <w:rPr>
                <w:rFonts w:ascii="宋体" w:hAnsi="宋体" w:cs="宋体"/>
                <w:color w:val="auto"/>
                <w:sz w:val="24"/>
                <w:szCs w:val="24"/>
                <w:highlight w:val="none"/>
              </w:rPr>
            </w:pPr>
            <w:r>
              <w:rPr>
                <w:rFonts w:hint="eastAsia" w:ascii="宋体" w:hAnsi="宋体" w:cs="宋体"/>
                <w:color w:val="auto"/>
                <w:highlight w:val="none"/>
              </w:rPr>
              <w:t>根据各供应商提供的服务标准设计合理性，保障有效性等进行横向对比：</w:t>
            </w:r>
          </w:p>
          <w:p>
            <w:pPr>
              <w:wordWrap w:val="0"/>
              <w:autoSpaceDE w:val="0"/>
              <w:snapToGrid w:val="0"/>
              <w:spacing w:before="36"/>
              <w:ind w:firstLine="420"/>
              <w:rPr>
                <w:rFonts w:ascii="宋体" w:hAnsi="宋体" w:cs="宋体"/>
                <w:color w:val="auto"/>
                <w:highlight w:val="none"/>
              </w:rPr>
            </w:pPr>
            <w:r>
              <w:rPr>
                <w:rFonts w:hint="eastAsia" w:ascii="宋体" w:hAnsi="宋体" w:cs="宋体"/>
                <w:color w:val="auto"/>
                <w:highlight w:val="none"/>
              </w:rPr>
              <w:t>1、标准设计合理，保障确保有效的，得5分；</w:t>
            </w:r>
          </w:p>
          <w:p>
            <w:pPr>
              <w:wordWrap w:val="0"/>
              <w:autoSpaceDE w:val="0"/>
              <w:snapToGrid w:val="0"/>
              <w:spacing w:before="36"/>
              <w:ind w:firstLine="420"/>
              <w:rPr>
                <w:rFonts w:ascii="宋体" w:hAnsi="宋体" w:cs="宋体"/>
                <w:color w:val="auto"/>
                <w:highlight w:val="none"/>
              </w:rPr>
            </w:pPr>
            <w:r>
              <w:rPr>
                <w:rFonts w:hint="eastAsia" w:ascii="宋体" w:hAnsi="宋体" w:cs="宋体"/>
                <w:color w:val="auto"/>
                <w:highlight w:val="none"/>
              </w:rPr>
              <w:t>2、标准设计较合理，保障较有效的，得3分；</w:t>
            </w:r>
          </w:p>
          <w:p>
            <w:pPr>
              <w:wordWrap w:val="0"/>
              <w:autoSpaceDE w:val="0"/>
              <w:snapToGrid w:val="0"/>
              <w:spacing w:before="36"/>
              <w:ind w:firstLine="420"/>
              <w:rPr>
                <w:rFonts w:ascii="宋体" w:hAnsi="宋体" w:cs="宋体"/>
                <w:color w:val="auto"/>
                <w:highlight w:val="none"/>
              </w:rPr>
            </w:pPr>
            <w:r>
              <w:rPr>
                <w:rFonts w:hint="eastAsia" w:ascii="宋体" w:hAnsi="宋体" w:cs="宋体"/>
                <w:color w:val="auto"/>
                <w:highlight w:val="none"/>
              </w:rPr>
              <w:t>3、标准设计欠缺合理，保障难形成有效的，得1 分。</w:t>
            </w:r>
          </w:p>
          <w:p>
            <w:pPr>
              <w:ind w:firstLine="422"/>
              <w:rPr>
                <w:rFonts w:ascii="宋体" w:hAnsi="宋体" w:cs="宋体"/>
                <w:color w:val="auto"/>
                <w:highlight w:val="none"/>
              </w:rPr>
            </w:pPr>
            <w:r>
              <w:rPr>
                <w:rFonts w:hint="eastAsia" w:ascii="宋体" w:hAnsi="宋体" w:cs="宋体"/>
                <w:b/>
                <w:color w:val="auto"/>
                <w:highlight w:val="none"/>
              </w:rPr>
              <w:t>注：不提供方案不得分。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vMerge w:val="restart"/>
            <w:tcBorders>
              <w:top w:val="nil"/>
              <w:left w:val="single" w:color="auto" w:sz="2" w:space="0"/>
              <w:bottom w:val="single" w:color="auto" w:sz="2" w:space="0"/>
              <w:right w:val="single" w:color="auto" w:sz="2" w:space="0"/>
            </w:tcBorders>
            <w:tcMar>
              <w:left w:w="108" w:type="dxa"/>
              <w:right w:w="108" w:type="dxa"/>
            </w:tcMar>
            <w:vAlign w:val="center"/>
          </w:tcPr>
          <w:p>
            <w:pPr>
              <w:jc w:val="center"/>
              <w:rPr>
                <w:rFonts w:ascii="宋体" w:hAnsi="宋体" w:cs="宋体"/>
                <w:color w:val="auto"/>
                <w:highlight w:val="none"/>
              </w:rPr>
            </w:pPr>
            <w:r>
              <w:rPr>
                <w:rFonts w:hint="eastAsia" w:ascii="宋体" w:hAnsi="宋体" w:cs="宋体"/>
                <w:color w:val="auto"/>
                <w:highlight w:val="none"/>
              </w:rPr>
              <w:t>商务部分</w:t>
            </w:r>
          </w:p>
        </w:tc>
        <w:tc>
          <w:tcPr>
            <w:tcW w:w="808" w:type="pct"/>
            <w:tcBorders>
              <w:top w:val="single" w:color="auto" w:sz="2" w:space="0"/>
              <w:left w:val="nil"/>
              <w:bottom w:val="single" w:color="auto" w:sz="2" w:space="0"/>
              <w:right w:val="single" w:color="auto" w:sz="2" w:space="0"/>
            </w:tcBorders>
            <w:tcMar>
              <w:left w:w="108" w:type="dxa"/>
              <w:right w:w="108" w:type="dxa"/>
            </w:tcMar>
          </w:tcPr>
          <w:p>
            <w:pPr>
              <w:jc w:val="left"/>
              <w:rPr>
                <w:rFonts w:ascii="宋体" w:hAnsi="宋体" w:cs="宋体"/>
                <w:color w:val="auto"/>
                <w:highlight w:val="none"/>
              </w:rPr>
            </w:pPr>
            <w:r>
              <w:rPr>
                <w:rFonts w:hint="eastAsia" w:ascii="宋体" w:hAnsi="宋体" w:cs="宋体"/>
                <w:color w:val="auto"/>
                <w:highlight w:val="none"/>
              </w:rPr>
              <w:t xml:space="preserve">售后服务方案(5.0分) </w:t>
            </w:r>
          </w:p>
        </w:tc>
        <w:tc>
          <w:tcPr>
            <w:tcW w:w="3637" w:type="pct"/>
            <w:tcBorders>
              <w:top w:val="single" w:color="auto" w:sz="2" w:space="0"/>
              <w:left w:val="nil"/>
              <w:bottom w:val="single" w:color="auto" w:sz="2" w:space="0"/>
              <w:right w:val="single" w:color="auto" w:sz="2" w:space="0"/>
            </w:tcBorders>
            <w:tcMar>
              <w:left w:w="108" w:type="dxa"/>
              <w:right w:w="108" w:type="dxa"/>
            </w:tcMar>
          </w:tcPr>
          <w:p>
            <w:pPr>
              <w:ind w:firstLine="420"/>
              <w:jc w:val="left"/>
              <w:rPr>
                <w:rFonts w:ascii="宋体" w:hAnsi="宋体" w:cs="宋体"/>
                <w:color w:val="auto"/>
                <w:highlight w:val="none"/>
              </w:rPr>
            </w:pPr>
            <w:r>
              <w:rPr>
                <w:rFonts w:hint="eastAsia" w:ascii="宋体" w:hAnsi="宋体" w:cs="宋体"/>
                <w:color w:val="auto"/>
                <w:highlight w:val="none"/>
              </w:rPr>
              <w:t>供应商针对本项目制定的售后服务方案(应包含但不限于售后服务期限、内容、响应时间、承诺、售后人员安排等内容)内容齐全、科学合理具有针对性、完全满足磋商文件要求的得5分；每有一项负偏离或售后服务每有一项漏项或方案内容存在逻辑问题或与项目需求不符存在无关内容或不满足要求的扣0.5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vMerge w:val="continue"/>
            <w:tcBorders>
              <w:top w:val="nil"/>
              <w:left w:val="single" w:color="auto" w:sz="2" w:space="0"/>
              <w:bottom w:val="single" w:color="auto" w:sz="2" w:space="0"/>
              <w:right w:val="single" w:color="auto" w:sz="2" w:space="0"/>
            </w:tcBorders>
            <w:vAlign w:val="center"/>
          </w:tcPr>
          <w:p>
            <w:pPr>
              <w:rPr>
                <w:rFonts w:ascii="宋体" w:hAnsi="宋体" w:cs="宋体"/>
                <w:color w:val="auto"/>
                <w:highlight w:val="none"/>
              </w:rPr>
            </w:pPr>
          </w:p>
        </w:tc>
        <w:tc>
          <w:tcPr>
            <w:tcW w:w="808" w:type="pct"/>
            <w:tcBorders>
              <w:top w:val="single" w:color="auto" w:sz="2" w:space="0"/>
              <w:left w:val="nil"/>
              <w:bottom w:val="single" w:color="auto" w:sz="2" w:space="0"/>
              <w:right w:val="single" w:color="auto" w:sz="2" w:space="0"/>
            </w:tcBorders>
            <w:tcMar>
              <w:left w:w="108" w:type="dxa"/>
              <w:right w:w="108" w:type="dxa"/>
            </w:tcMar>
          </w:tcPr>
          <w:p>
            <w:pPr>
              <w:jc w:val="left"/>
              <w:rPr>
                <w:rFonts w:ascii="宋体" w:hAnsi="宋体" w:cs="宋体"/>
                <w:color w:val="auto"/>
                <w:highlight w:val="none"/>
              </w:rPr>
            </w:pPr>
            <w:r>
              <w:rPr>
                <w:rFonts w:hint="eastAsia" w:ascii="宋体" w:hAnsi="宋体" w:cs="宋体"/>
                <w:color w:val="auto"/>
                <w:highlight w:val="none"/>
              </w:rPr>
              <w:t>项目团队（17.0分）</w:t>
            </w:r>
          </w:p>
        </w:tc>
        <w:tc>
          <w:tcPr>
            <w:tcW w:w="3637" w:type="pct"/>
            <w:tcBorders>
              <w:top w:val="single" w:color="auto" w:sz="2" w:space="0"/>
              <w:left w:val="nil"/>
              <w:bottom w:val="single" w:color="auto" w:sz="2" w:space="0"/>
              <w:right w:val="single" w:color="auto" w:sz="2" w:space="0"/>
            </w:tcBorders>
            <w:tcMar>
              <w:left w:w="108" w:type="dxa"/>
              <w:right w:w="108" w:type="dxa"/>
            </w:tcMar>
          </w:tcPr>
          <w:p>
            <w:pPr>
              <w:wordWrap w:val="0"/>
              <w:autoSpaceDE w:val="0"/>
              <w:snapToGrid w:val="0"/>
              <w:spacing w:before="36"/>
              <w:ind w:right="132" w:firstLine="420"/>
              <w:rPr>
                <w:rFonts w:ascii="宋体" w:hAnsi="宋体" w:cs="宋体"/>
                <w:color w:val="auto"/>
                <w:sz w:val="24"/>
                <w:szCs w:val="24"/>
                <w:highlight w:val="none"/>
              </w:rPr>
            </w:pPr>
            <w:r>
              <w:rPr>
                <w:rFonts w:hint="eastAsia" w:ascii="宋体" w:hAnsi="宋体" w:cs="宋体"/>
                <w:color w:val="auto"/>
                <w:highlight w:val="none"/>
              </w:rPr>
              <w:t>1、参与项目人员具备高级经济师资格且学历为硕士及以上的得2分。</w:t>
            </w:r>
          </w:p>
          <w:p>
            <w:pPr>
              <w:wordWrap w:val="0"/>
              <w:autoSpaceDE w:val="0"/>
              <w:snapToGrid w:val="0"/>
              <w:spacing w:before="36"/>
              <w:ind w:firstLine="420"/>
              <w:rPr>
                <w:rFonts w:ascii="宋体" w:hAnsi="宋体" w:cs="宋体"/>
                <w:color w:val="auto"/>
                <w:highlight w:val="none"/>
              </w:rPr>
            </w:pPr>
            <w:r>
              <w:rPr>
                <w:rFonts w:hint="eastAsia" w:ascii="宋体" w:hAnsi="宋体" w:cs="宋体"/>
                <w:color w:val="auto"/>
                <w:highlight w:val="none"/>
              </w:rPr>
              <w:t>2、参与项目人员具备二级及以上人力资源管理师资格证书的得2分。</w:t>
            </w:r>
          </w:p>
          <w:p>
            <w:pPr>
              <w:wordWrap w:val="0"/>
              <w:autoSpaceDE w:val="0"/>
              <w:snapToGrid w:val="0"/>
              <w:spacing w:before="36"/>
              <w:ind w:right="132" w:firstLine="420"/>
              <w:rPr>
                <w:rFonts w:ascii="宋体" w:hAnsi="宋体" w:cs="宋体"/>
                <w:color w:val="auto"/>
                <w:highlight w:val="none"/>
              </w:rPr>
            </w:pPr>
            <w:r>
              <w:rPr>
                <w:rFonts w:hint="eastAsia" w:ascii="宋体" w:hAnsi="宋体" w:cs="宋体"/>
                <w:color w:val="auto"/>
                <w:highlight w:val="none"/>
              </w:rPr>
              <w:t>3、参与项目人员在医院薪酬研究方面获得市（直辖）级及以上科学技术进步奖的得3分，最多得3分。</w:t>
            </w:r>
          </w:p>
          <w:p>
            <w:pPr>
              <w:wordWrap w:val="0"/>
              <w:autoSpaceDE w:val="0"/>
              <w:snapToGrid w:val="0"/>
              <w:spacing w:before="36"/>
              <w:ind w:right="132" w:firstLine="420"/>
              <w:rPr>
                <w:rFonts w:ascii="宋体" w:hAnsi="宋体" w:cs="宋体"/>
                <w:color w:val="auto"/>
                <w:highlight w:val="none"/>
              </w:rPr>
            </w:pPr>
            <w:r>
              <w:rPr>
                <w:rFonts w:hint="eastAsia" w:ascii="宋体" w:hAnsi="宋体" w:cs="宋体"/>
                <w:color w:val="auto"/>
                <w:highlight w:val="none"/>
              </w:rPr>
              <w:t>4、参与项目人员曾在公开刊物上发表过医院绩效管理相关的论文，得0.5分；曾发表过医院绩效管理相关的著作并出版的得1分，本项最高得5分。</w:t>
            </w:r>
          </w:p>
          <w:p>
            <w:pPr>
              <w:wordWrap w:val="0"/>
              <w:autoSpaceDE w:val="0"/>
              <w:snapToGrid w:val="0"/>
              <w:spacing w:before="36"/>
              <w:ind w:right="132" w:firstLine="420"/>
              <w:rPr>
                <w:rFonts w:ascii="宋体" w:hAnsi="宋体" w:cs="宋体"/>
                <w:color w:val="auto"/>
                <w:highlight w:val="none"/>
              </w:rPr>
            </w:pPr>
            <w:r>
              <w:rPr>
                <w:rFonts w:hint="eastAsia" w:ascii="宋体" w:hAnsi="宋体" w:cs="宋体"/>
                <w:color w:val="auto"/>
                <w:highlight w:val="none"/>
              </w:rPr>
              <w:t>5、供应商对该服务派驻医院项目团队负责人具备同类项目实施经验年限进行打分，具备10年以上医院绩效管理咨询经验的得5分，5年以上不满10年的得3分，1年以上不足5年的得1分，不提供不得分。</w:t>
            </w:r>
          </w:p>
          <w:p>
            <w:pPr>
              <w:ind w:firstLine="422"/>
              <w:rPr>
                <w:rFonts w:ascii="宋体" w:hAnsi="宋体" w:cs="宋体"/>
                <w:b/>
                <w:color w:val="auto"/>
                <w:highlight w:val="none"/>
              </w:rPr>
            </w:pPr>
            <w:r>
              <w:rPr>
                <w:rFonts w:hint="eastAsia" w:ascii="宋体" w:hAnsi="宋体" w:cs="宋体"/>
                <w:b/>
                <w:color w:val="auto"/>
                <w:highlight w:val="none"/>
              </w:rPr>
              <w:t>注：提供已实施医院项目经历证明材料复印件，若项目团队成员中存在个人同时满足多项评分要求可累计得分。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vMerge w:val="continue"/>
            <w:tcBorders>
              <w:top w:val="nil"/>
              <w:left w:val="single" w:color="auto" w:sz="2" w:space="0"/>
              <w:bottom w:val="single" w:color="auto" w:sz="2" w:space="0"/>
              <w:right w:val="single" w:color="auto" w:sz="2" w:space="0"/>
            </w:tcBorders>
            <w:vAlign w:val="center"/>
          </w:tcPr>
          <w:p>
            <w:pPr>
              <w:rPr>
                <w:rFonts w:ascii="宋体" w:hAnsi="宋体" w:cs="宋体"/>
                <w:color w:val="auto"/>
                <w:highlight w:val="none"/>
              </w:rPr>
            </w:pPr>
          </w:p>
        </w:tc>
        <w:tc>
          <w:tcPr>
            <w:tcW w:w="808" w:type="pct"/>
            <w:tcBorders>
              <w:top w:val="single" w:color="auto" w:sz="2" w:space="0"/>
              <w:left w:val="nil"/>
              <w:bottom w:val="single" w:color="auto" w:sz="2" w:space="0"/>
              <w:right w:val="single" w:color="auto" w:sz="2" w:space="0"/>
            </w:tcBorders>
            <w:tcMar>
              <w:left w:w="108" w:type="dxa"/>
              <w:right w:w="108" w:type="dxa"/>
            </w:tcMar>
          </w:tcPr>
          <w:p>
            <w:pPr>
              <w:jc w:val="left"/>
              <w:rPr>
                <w:rFonts w:ascii="宋体" w:hAnsi="宋体" w:cs="宋体"/>
                <w:color w:val="auto"/>
                <w:highlight w:val="none"/>
              </w:rPr>
            </w:pPr>
            <w:r>
              <w:rPr>
                <w:rFonts w:hint="eastAsia" w:ascii="宋体" w:hAnsi="宋体" w:cs="宋体"/>
                <w:color w:val="auto"/>
                <w:highlight w:val="none"/>
              </w:rPr>
              <w:t>同类项目业务（10.0分）</w:t>
            </w:r>
          </w:p>
        </w:tc>
        <w:tc>
          <w:tcPr>
            <w:tcW w:w="3637" w:type="pct"/>
            <w:tcBorders>
              <w:top w:val="single" w:color="auto" w:sz="2" w:space="0"/>
              <w:left w:val="nil"/>
              <w:bottom w:val="single" w:color="auto" w:sz="2" w:space="0"/>
              <w:right w:val="single" w:color="auto" w:sz="2" w:space="0"/>
            </w:tcBorders>
            <w:tcMar>
              <w:left w:w="108" w:type="dxa"/>
              <w:right w:w="108" w:type="dxa"/>
            </w:tcMar>
          </w:tcPr>
          <w:p>
            <w:pPr>
              <w:ind w:firstLine="420"/>
              <w:rPr>
                <w:rFonts w:ascii="宋体" w:hAnsi="宋体" w:cs="宋体"/>
                <w:color w:val="auto"/>
                <w:highlight w:val="none"/>
              </w:rPr>
            </w:pPr>
            <w:r>
              <w:rPr>
                <w:rFonts w:hint="eastAsia" w:ascii="宋体" w:hAnsi="宋体" w:cs="宋体"/>
                <w:color w:val="auto"/>
                <w:highlight w:val="none"/>
              </w:rPr>
              <w:t>自2019年1月1日至今供应商承担过类似项目业绩每提供一份业绩得1分，本项最多得10分。</w:t>
            </w:r>
          </w:p>
          <w:p>
            <w:pPr>
              <w:ind w:firstLine="422"/>
              <w:rPr>
                <w:rFonts w:ascii="宋体" w:hAnsi="宋体" w:cs="宋体"/>
                <w:b/>
                <w:color w:val="auto"/>
                <w:highlight w:val="none"/>
              </w:rPr>
            </w:pPr>
            <w:r>
              <w:rPr>
                <w:rFonts w:hint="eastAsia" w:ascii="宋体" w:hAnsi="宋体" w:cs="宋体"/>
                <w:b/>
                <w:color w:val="auto"/>
                <w:highlight w:val="none"/>
              </w:rPr>
              <w:t>注：提供业绩合同复印件，不得供不得分。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vMerge w:val="continue"/>
            <w:tcBorders>
              <w:top w:val="nil"/>
              <w:left w:val="single" w:color="auto" w:sz="2" w:space="0"/>
              <w:bottom w:val="single" w:color="auto" w:sz="2" w:space="0"/>
              <w:right w:val="single" w:color="auto" w:sz="2" w:space="0"/>
            </w:tcBorders>
            <w:vAlign w:val="center"/>
          </w:tcPr>
          <w:p>
            <w:pPr>
              <w:rPr>
                <w:rFonts w:ascii="宋体" w:hAnsi="宋体" w:cs="宋体"/>
                <w:color w:val="auto"/>
                <w:highlight w:val="none"/>
              </w:rPr>
            </w:pPr>
          </w:p>
        </w:tc>
        <w:tc>
          <w:tcPr>
            <w:tcW w:w="808" w:type="pct"/>
            <w:tcBorders>
              <w:top w:val="single" w:color="auto" w:sz="2" w:space="0"/>
              <w:left w:val="nil"/>
              <w:bottom w:val="single" w:color="auto" w:sz="2" w:space="0"/>
              <w:right w:val="single" w:color="auto" w:sz="2" w:space="0"/>
            </w:tcBorders>
            <w:tcMar>
              <w:left w:w="108" w:type="dxa"/>
              <w:right w:w="108" w:type="dxa"/>
            </w:tcMar>
          </w:tcPr>
          <w:p>
            <w:pPr>
              <w:rPr>
                <w:rFonts w:ascii="宋体" w:hAnsi="宋体" w:cs="宋体"/>
                <w:color w:val="auto"/>
                <w:highlight w:val="none"/>
              </w:rPr>
            </w:pPr>
            <w:r>
              <w:rPr>
                <w:rFonts w:hint="eastAsia" w:ascii="宋体" w:hAnsi="宋体" w:cs="宋体"/>
                <w:color w:val="auto"/>
                <w:highlight w:val="none"/>
              </w:rPr>
              <w:t>用户满意度评价（10.0分）</w:t>
            </w:r>
          </w:p>
        </w:tc>
        <w:tc>
          <w:tcPr>
            <w:tcW w:w="3637" w:type="pct"/>
            <w:tcBorders>
              <w:top w:val="single" w:color="auto" w:sz="2" w:space="0"/>
              <w:left w:val="nil"/>
              <w:bottom w:val="single" w:color="auto" w:sz="2" w:space="0"/>
              <w:right w:val="single" w:color="auto" w:sz="2" w:space="0"/>
            </w:tcBorders>
            <w:tcMar>
              <w:left w:w="108" w:type="dxa"/>
              <w:right w:w="108" w:type="dxa"/>
            </w:tcMar>
          </w:tcPr>
          <w:p>
            <w:pPr>
              <w:ind w:firstLine="420"/>
              <w:rPr>
                <w:rFonts w:ascii="宋体" w:hAnsi="宋体" w:cs="宋体"/>
                <w:color w:val="auto"/>
                <w:highlight w:val="none"/>
              </w:rPr>
            </w:pPr>
            <w:r>
              <w:rPr>
                <w:rFonts w:hint="eastAsia" w:ascii="宋体" w:hAnsi="宋体" w:cs="宋体"/>
                <w:color w:val="auto"/>
                <w:highlight w:val="none"/>
              </w:rPr>
              <w:t>自2019年1月1日至今供应商承担过类似项目业绩获得用户单位对其服务质量评价情况：评价为满意或优等类似的正面评价内容一个得1分，最高可得10分。</w:t>
            </w:r>
          </w:p>
          <w:p>
            <w:pPr>
              <w:ind w:firstLine="422"/>
              <w:rPr>
                <w:rFonts w:ascii="宋体" w:hAnsi="宋体" w:cs="宋体"/>
                <w:b/>
                <w:color w:val="auto"/>
                <w:highlight w:val="none"/>
              </w:rPr>
            </w:pPr>
            <w:r>
              <w:rPr>
                <w:rFonts w:hint="eastAsia" w:ascii="宋体" w:hAnsi="宋体" w:cs="宋体"/>
                <w:b/>
                <w:color w:val="auto"/>
                <w:highlight w:val="none"/>
              </w:rPr>
              <w:t>注：提供证明文件需由用户方出具盖章有效。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vMerge w:val="continue"/>
            <w:tcBorders>
              <w:top w:val="nil"/>
              <w:left w:val="single" w:color="auto" w:sz="2" w:space="0"/>
              <w:bottom w:val="single" w:color="auto" w:sz="2" w:space="0"/>
              <w:right w:val="single" w:color="auto" w:sz="2" w:space="0"/>
            </w:tcBorders>
            <w:vAlign w:val="center"/>
          </w:tcPr>
          <w:p>
            <w:pPr>
              <w:rPr>
                <w:rFonts w:ascii="宋体" w:hAnsi="宋体" w:cs="宋体"/>
                <w:color w:val="auto"/>
                <w:highlight w:val="none"/>
              </w:rPr>
            </w:pPr>
          </w:p>
        </w:tc>
        <w:tc>
          <w:tcPr>
            <w:tcW w:w="808" w:type="pct"/>
            <w:tcBorders>
              <w:top w:val="single" w:color="auto" w:sz="2" w:space="0"/>
              <w:left w:val="nil"/>
              <w:bottom w:val="single" w:color="auto" w:sz="2" w:space="0"/>
              <w:right w:val="single" w:color="auto" w:sz="2" w:space="0"/>
            </w:tcBorders>
            <w:tcMar>
              <w:left w:w="108" w:type="dxa"/>
              <w:right w:w="108" w:type="dxa"/>
            </w:tcMar>
          </w:tcPr>
          <w:p>
            <w:pPr>
              <w:rPr>
                <w:rFonts w:ascii="宋体" w:hAnsi="宋体" w:cs="宋体"/>
                <w:color w:val="auto"/>
                <w:highlight w:val="none"/>
              </w:rPr>
            </w:pPr>
            <w:r>
              <w:rPr>
                <w:rFonts w:hint="eastAsia" w:ascii="宋体" w:hAnsi="宋体" w:cs="宋体"/>
                <w:color w:val="auto"/>
                <w:highlight w:val="none"/>
              </w:rPr>
              <w:t>供应商综合实力（3.0分）</w:t>
            </w:r>
          </w:p>
        </w:tc>
        <w:tc>
          <w:tcPr>
            <w:tcW w:w="3637" w:type="pct"/>
            <w:tcBorders>
              <w:top w:val="single" w:color="auto" w:sz="2" w:space="0"/>
              <w:left w:val="nil"/>
              <w:bottom w:val="single" w:color="auto" w:sz="2" w:space="0"/>
              <w:right w:val="single" w:color="auto" w:sz="2" w:space="0"/>
            </w:tcBorders>
            <w:tcMar>
              <w:left w:w="108" w:type="dxa"/>
              <w:right w:w="108" w:type="dxa"/>
            </w:tcMar>
          </w:tcPr>
          <w:p>
            <w:pPr>
              <w:wordWrap w:val="0"/>
              <w:autoSpaceDE w:val="0"/>
              <w:snapToGrid w:val="0"/>
              <w:spacing w:before="36"/>
              <w:ind w:firstLine="420"/>
              <w:jc w:val="left"/>
              <w:rPr>
                <w:rFonts w:ascii="宋体" w:hAnsi="宋体" w:cs="宋体"/>
                <w:color w:val="auto"/>
                <w:highlight w:val="none"/>
              </w:rPr>
            </w:pPr>
            <w:r>
              <w:rPr>
                <w:rFonts w:hint="eastAsia" w:ascii="宋体" w:hAnsi="宋体" w:cs="宋体"/>
                <w:color w:val="auto"/>
                <w:highlight w:val="none"/>
              </w:rPr>
              <w:t>1、供应商具有ISO9001 系列质量管理体系认证证书的得1分。</w:t>
            </w:r>
          </w:p>
          <w:p>
            <w:pPr>
              <w:wordWrap w:val="0"/>
              <w:autoSpaceDE w:val="0"/>
              <w:snapToGrid w:val="0"/>
              <w:spacing w:before="36"/>
              <w:ind w:firstLine="420"/>
              <w:jc w:val="left"/>
              <w:rPr>
                <w:rFonts w:ascii="宋体" w:hAnsi="宋体" w:cs="宋体"/>
                <w:color w:val="auto"/>
                <w:highlight w:val="none"/>
              </w:rPr>
            </w:pPr>
            <w:r>
              <w:rPr>
                <w:rFonts w:hint="eastAsia" w:ascii="宋体" w:hAnsi="宋体" w:cs="宋体"/>
                <w:color w:val="auto"/>
                <w:highlight w:val="none"/>
              </w:rPr>
              <w:t>2、供应商具有AAA信用等级证书的得1分；具有AA信用等级证书的得0.5分；其余不得分。</w:t>
            </w:r>
          </w:p>
          <w:p>
            <w:pPr>
              <w:wordWrap w:val="0"/>
              <w:autoSpaceDE w:val="0"/>
              <w:snapToGrid w:val="0"/>
              <w:spacing w:before="36"/>
              <w:ind w:firstLine="420"/>
              <w:jc w:val="left"/>
              <w:rPr>
                <w:rFonts w:ascii="宋体" w:hAnsi="宋体" w:cs="宋体"/>
                <w:color w:val="auto"/>
                <w:highlight w:val="none"/>
              </w:rPr>
            </w:pPr>
            <w:r>
              <w:rPr>
                <w:rFonts w:hint="eastAsia" w:ascii="宋体" w:hAnsi="宋体" w:cs="宋体"/>
                <w:color w:val="auto"/>
                <w:highlight w:val="none"/>
              </w:rPr>
              <w:t>3、供应商具有AAA资信等级证书的得1分；具有AA资信等级证书的得0.5分；其余不得分。</w:t>
            </w:r>
          </w:p>
          <w:p>
            <w:pPr>
              <w:wordWrap w:val="0"/>
              <w:autoSpaceDE w:val="0"/>
              <w:snapToGrid w:val="0"/>
              <w:spacing w:before="36"/>
              <w:ind w:firstLine="422"/>
              <w:jc w:val="left"/>
              <w:rPr>
                <w:rFonts w:ascii="宋体" w:hAnsi="宋体" w:cs="宋体"/>
                <w:b/>
                <w:color w:val="auto"/>
                <w:highlight w:val="none"/>
              </w:rPr>
            </w:pPr>
            <w:r>
              <w:rPr>
                <w:rFonts w:hint="eastAsia" w:ascii="宋体" w:hAnsi="宋体" w:cs="宋体"/>
                <w:b/>
                <w:color w:val="auto"/>
                <w:highlight w:val="none"/>
              </w:rPr>
              <w:t>注：提供相关证明材料复印件。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554" w:type="pct"/>
            <w:tcBorders>
              <w:top w:val="single" w:color="auto" w:sz="2" w:space="0"/>
              <w:left w:val="single" w:color="auto" w:sz="2" w:space="0"/>
              <w:bottom w:val="single" w:color="auto" w:sz="2" w:space="0"/>
              <w:right w:val="single" w:color="auto" w:sz="2" w:space="0"/>
            </w:tcBorders>
            <w:tcMar>
              <w:left w:w="108" w:type="dxa"/>
              <w:right w:w="108" w:type="dxa"/>
            </w:tcMar>
          </w:tcPr>
          <w:p>
            <w:pPr>
              <w:jc w:val="center"/>
              <w:rPr>
                <w:rFonts w:ascii="宋体" w:hAnsi="宋体" w:cs="宋体"/>
                <w:color w:val="auto"/>
                <w:highlight w:val="none"/>
              </w:rPr>
            </w:pPr>
            <w:r>
              <w:rPr>
                <w:rFonts w:hint="eastAsia" w:ascii="宋体" w:hAnsi="宋体" w:cs="宋体"/>
                <w:color w:val="auto"/>
                <w:highlight w:val="none"/>
              </w:rPr>
              <w:t>投标报价</w:t>
            </w:r>
          </w:p>
        </w:tc>
        <w:tc>
          <w:tcPr>
            <w:tcW w:w="808" w:type="pct"/>
            <w:tcBorders>
              <w:top w:val="single" w:color="auto" w:sz="2" w:space="0"/>
              <w:left w:val="nil"/>
              <w:bottom w:val="single" w:color="auto" w:sz="2" w:space="0"/>
              <w:right w:val="single" w:color="auto" w:sz="2" w:space="0"/>
            </w:tcBorders>
            <w:tcMar>
              <w:left w:w="108" w:type="dxa"/>
              <w:right w:w="108" w:type="dxa"/>
            </w:tcMar>
          </w:tcPr>
          <w:p>
            <w:pPr>
              <w:jc w:val="left"/>
              <w:rPr>
                <w:rFonts w:ascii="宋体" w:hAnsi="宋体" w:cs="宋体"/>
                <w:color w:val="auto"/>
                <w:highlight w:val="none"/>
              </w:rPr>
            </w:pPr>
            <w:r>
              <w:rPr>
                <w:rFonts w:hint="eastAsia" w:ascii="宋体" w:hAnsi="宋体" w:cs="宋体"/>
                <w:color w:val="auto"/>
                <w:highlight w:val="none"/>
              </w:rPr>
              <w:t>投标报价得分 (10.0分)</w:t>
            </w:r>
          </w:p>
        </w:tc>
        <w:tc>
          <w:tcPr>
            <w:tcW w:w="3637" w:type="pct"/>
            <w:tcBorders>
              <w:top w:val="single" w:color="auto" w:sz="2" w:space="0"/>
              <w:left w:val="nil"/>
              <w:bottom w:val="single" w:color="auto" w:sz="2" w:space="0"/>
              <w:right w:val="single" w:color="auto" w:sz="2" w:space="0"/>
            </w:tcBorders>
            <w:tcMar>
              <w:left w:w="108" w:type="dxa"/>
              <w:right w:w="108" w:type="dxa"/>
            </w:tcMar>
          </w:tcPr>
          <w:p>
            <w:pPr>
              <w:ind w:firstLine="420"/>
              <w:jc w:val="left"/>
              <w:rPr>
                <w:rFonts w:ascii="宋体" w:hAnsi="宋体" w:cs="宋体"/>
                <w:color w:val="auto"/>
                <w:highlight w:val="none"/>
              </w:rPr>
            </w:pPr>
            <w:r>
              <w:rPr>
                <w:rFonts w:hint="eastAsia" w:ascii="宋体" w:hAnsi="宋体" w:cs="宋体"/>
                <w:color w:val="auto"/>
                <w:highlight w:val="none"/>
              </w:rPr>
              <w:t>投标报价得分＝（评标基准价/投标报价）×价格分值【注：满足采购文件要求且投标价格最低的投标报价为评标基准价。】最低报价不是中标的唯一依据。因落实政府采购政策进行价格调整的，以调整后的价格计算评标基准价和投标报价。</w:t>
            </w:r>
          </w:p>
        </w:tc>
      </w:tr>
    </w:tbl>
    <w:p>
      <w:pPr>
        <w:spacing w:line="360" w:lineRule="auto"/>
        <w:ind w:firstLine="480"/>
        <w:rPr>
          <w:rFonts w:ascii="宋体" w:hAnsi="宋体" w:cs="宋体"/>
          <w:color w:val="auto"/>
          <w:sz w:val="24"/>
          <w:szCs w:val="24"/>
          <w:highlight w:val="none"/>
        </w:rPr>
      </w:pPr>
    </w:p>
    <w:p>
      <w:pPr>
        <w:pStyle w:val="4"/>
        <w:spacing w:before="0" w:after="0"/>
        <w:rPr>
          <w:rFonts w:ascii="宋体" w:hAnsi="宋体" w:cs="宋体"/>
          <w:color w:val="auto"/>
          <w:sz w:val="24"/>
          <w:szCs w:val="24"/>
          <w:highlight w:val="none"/>
        </w:rPr>
      </w:pPr>
      <w:r>
        <w:rPr>
          <w:rFonts w:hint="eastAsia" w:ascii="宋体" w:hAnsi="宋体" w:cs="宋体"/>
          <w:color w:val="auto"/>
          <w:sz w:val="24"/>
          <w:szCs w:val="24"/>
          <w:highlight w:val="none"/>
        </w:rPr>
        <w:t>6.汇总、排序</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1.综合得分==商务得分＋技术得分+报价得分。 2.各项得分按四舍五入原则精确到小数点后两位，将报价供应商的综合得分由高到低顺序排列。综合得分相同时，按下列顺序进行比较确定名次：①修正后的折扣率（由低到高）；②技术评分（由高到低）；③商务评分（由高到低）。如以上都相同的，名次由磋商小组会抽签确定。 3.磋商小组按上述排列向采购人推荐综合得分排名第一的报价供应商为第一成交候选人，排名第二的报价供应商为第二成交候选人。排名第三的报价供应商为第三成交候选人。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7.其他无效响应的情形：</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（1）评审期间，供应商没有按磋商小组的要求提交法定代表人或其委托代理人签字的澄清、说明、补正或改变了响应文件的实质性内容的。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（2）响应文件提供虚假材料的。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（3）供应商以他人名义响应、串通响应、以行贿手段谋取成交或者以其他弄虚作假方式响应的。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（4）供应商对采购人、采购代理机构、磋商小组及其工作人员施加影响，有碍公平、公正的。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（5）响应文件含有采购人不能接受的附加条件的。</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（6）法律、法规和磋商文件规定的其他无效情形。</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highlight w:val="none"/>
        </w:rPr>
        <w:br w:type="page"/>
      </w:r>
    </w:p>
    <w:p>
      <w:pPr>
        <w:pStyle w:val="2"/>
        <w:spacing w:before="0" w:after="0"/>
        <w:jc w:val="center"/>
        <w:rPr>
          <w:rFonts w:ascii="宋体" w:hAnsi="宋体" w:cs="宋体"/>
          <w:color w:val="auto"/>
          <w:highlight w:val="none"/>
        </w:rPr>
      </w:pPr>
      <w:bookmarkStart w:id="17" w:name="_Toc123557082"/>
      <w:r>
        <w:rPr>
          <w:rFonts w:hint="eastAsia" w:ascii="宋体" w:hAnsi="宋体" w:cs="宋体"/>
          <w:color w:val="auto"/>
          <w:highlight w:val="none"/>
        </w:rPr>
        <w:t>第五章 合同文本</w:t>
      </w:r>
      <w:bookmarkEnd w:id="17"/>
    </w:p>
    <w:p>
      <w:pPr>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center"/>
        <w:rPr>
          <w:rFonts w:ascii="宋体" w:hAnsi="宋体" w:cs="宋体"/>
          <w:b/>
          <w:color w:val="auto"/>
          <w:sz w:val="24"/>
          <w:szCs w:val="24"/>
          <w:highlight w:val="none"/>
        </w:rPr>
      </w:pPr>
    </w:p>
    <w:p>
      <w:pPr>
        <w:jc w:val="left"/>
        <w:rPr>
          <w:rFonts w:ascii="宋体" w:hAnsi="宋体" w:cs="宋体"/>
          <w:color w:val="auto"/>
          <w:sz w:val="18"/>
          <w:szCs w:val="18"/>
          <w:highlight w:val="none"/>
        </w:rPr>
      </w:pPr>
      <w:r>
        <w:rPr>
          <w:rFonts w:hint="eastAsia" w:ascii="宋体" w:hAnsi="宋体" w:cs="宋体"/>
          <w:b/>
          <w:color w:val="auto"/>
          <w:sz w:val="18"/>
          <w:szCs w:val="18"/>
          <w:highlight w:val="none"/>
        </w:rPr>
        <w:t>注：本合同仅为合同的参考文本，合同签订双方可根据项目的具体要求进行修订。</w:t>
      </w:r>
      <w:r>
        <w:rPr>
          <w:rFonts w:hint="eastAsia" w:ascii="宋体" w:hAnsi="宋体" w:cs="宋体"/>
          <w:color w:val="auto"/>
          <w:highlight w:val="none"/>
        </w:rPr>
        <w:br w:type="page"/>
      </w:r>
    </w:p>
    <w:p>
      <w:pPr>
        <w:pStyle w:val="11"/>
        <w:spacing w:after="0"/>
        <w:ind w:left="-599" w:leftChars="-359" w:hanging="155"/>
        <w:jc w:val="right"/>
        <w:rPr>
          <w:rFonts w:ascii="宋体" w:hAnsi="宋体" w:cs="宋体"/>
          <w:b/>
          <w:color w:val="auto"/>
          <w:highlight w:val="none"/>
        </w:rPr>
      </w:pPr>
      <w:r>
        <w:rPr>
          <w:rFonts w:hint="eastAsia" w:ascii="宋体" w:hAnsi="宋体" w:cs="宋体"/>
          <w:color w:val="auto"/>
          <w:highlight w:val="none"/>
        </w:rPr>
        <w:t xml:space="preserve">合同编号：      </w:t>
      </w:r>
    </w:p>
    <w:p>
      <w:pPr>
        <w:tabs>
          <w:tab w:val="left" w:pos="720"/>
        </w:tabs>
        <w:spacing w:line="360" w:lineRule="auto"/>
        <w:jc w:val="center"/>
        <w:rPr>
          <w:rFonts w:ascii="宋体" w:hAnsi="宋体" w:cs="宋体"/>
          <w:b/>
          <w:color w:val="auto"/>
          <w:highlight w:val="none"/>
        </w:rPr>
      </w:pPr>
    </w:p>
    <w:p>
      <w:pPr>
        <w:tabs>
          <w:tab w:val="left" w:pos="720"/>
        </w:tabs>
        <w:spacing w:line="360" w:lineRule="auto"/>
        <w:jc w:val="center"/>
        <w:rPr>
          <w:rFonts w:ascii="宋体" w:hAnsi="宋体" w:cs="宋体"/>
          <w:b/>
          <w:color w:val="auto"/>
          <w:highlight w:val="none"/>
        </w:rPr>
      </w:pPr>
    </w:p>
    <w:p>
      <w:pPr>
        <w:tabs>
          <w:tab w:val="left" w:pos="720"/>
        </w:tabs>
        <w:spacing w:line="360" w:lineRule="auto"/>
        <w:jc w:val="center"/>
        <w:rPr>
          <w:rFonts w:ascii="宋体" w:hAnsi="宋体" w:cs="宋体"/>
          <w:b/>
          <w:color w:val="auto"/>
          <w:highlight w:val="none"/>
        </w:rPr>
      </w:pPr>
    </w:p>
    <w:p>
      <w:pPr>
        <w:tabs>
          <w:tab w:val="left" w:pos="720"/>
        </w:tabs>
        <w:spacing w:line="360" w:lineRule="auto"/>
        <w:jc w:val="center"/>
        <w:rPr>
          <w:rFonts w:ascii="宋体" w:hAnsi="宋体" w:cs="宋体"/>
          <w:b/>
          <w:color w:val="auto"/>
          <w:highlight w:val="none"/>
        </w:rPr>
      </w:pPr>
    </w:p>
    <w:p>
      <w:pPr>
        <w:tabs>
          <w:tab w:val="left" w:pos="720"/>
        </w:tabs>
        <w:spacing w:line="360" w:lineRule="auto"/>
        <w:jc w:val="center"/>
        <w:rPr>
          <w:rFonts w:ascii="宋体" w:hAnsi="宋体" w:cs="宋体"/>
          <w:b/>
          <w:color w:val="auto"/>
          <w:highlight w:val="none"/>
        </w:rPr>
      </w:pPr>
    </w:p>
    <w:p>
      <w:pPr>
        <w:tabs>
          <w:tab w:val="left" w:pos="720"/>
        </w:tabs>
        <w:spacing w:line="360" w:lineRule="auto"/>
        <w:rPr>
          <w:rFonts w:ascii="宋体" w:hAnsi="宋体" w:cs="宋体"/>
          <w:b/>
          <w:color w:val="auto"/>
          <w:sz w:val="36"/>
          <w:szCs w:val="36"/>
          <w:highlight w:val="none"/>
        </w:rPr>
      </w:pPr>
    </w:p>
    <w:p>
      <w:pPr>
        <w:tabs>
          <w:tab w:val="left" w:pos="720"/>
        </w:tabs>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合 同 书</w:t>
      </w:r>
    </w:p>
    <w:p>
      <w:pPr>
        <w:tabs>
          <w:tab w:val="left" w:pos="720"/>
        </w:tabs>
        <w:spacing w:line="360" w:lineRule="auto"/>
        <w:jc w:val="center"/>
        <w:rPr>
          <w:rFonts w:ascii="宋体" w:hAnsi="宋体" w:cs="宋体"/>
          <w:b/>
          <w:color w:val="auto"/>
          <w:sz w:val="36"/>
          <w:szCs w:val="36"/>
          <w:highlight w:val="none"/>
        </w:rPr>
      </w:pPr>
    </w:p>
    <w:p>
      <w:pPr>
        <w:tabs>
          <w:tab w:val="left" w:pos="720"/>
        </w:tabs>
        <w:spacing w:line="360" w:lineRule="auto"/>
        <w:jc w:val="center"/>
        <w:rPr>
          <w:rFonts w:ascii="宋体" w:hAnsi="宋体" w:cs="宋体"/>
          <w:color w:val="auto"/>
          <w:sz w:val="36"/>
          <w:szCs w:val="36"/>
          <w:highlight w:val="none"/>
        </w:rPr>
      </w:pPr>
    </w:p>
    <w:p>
      <w:pPr>
        <w:tabs>
          <w:tab w:val="left" w:pos="720"/>
        </w:tabs>
        <w:spacing w:line="360" w:lineRule="auto"/>
        <w:jc w:val="center"/>
        <w:rPr>
          <w:rFonts w:ascii="宋体" w:hAnsi="宋体" w:cs="宋体"/>
          <w:b/>
          <w:color w:val="auto"/>
          <w:sz w:val="36"/>
          <w:szCs w:val="36"/>
          <w:highlight w:val="none"/>
        </w:rPr>
      </w:pPr>
    </w:p>
    <w:p>
      <w:pPr>
        <w:tabs>
          <w:tab w:val="left" w:pos="720"/>
        </w:tabs>
        <w:spacing w:line="360" w:lineRule="auto"/>
        <w:ind w:left="3528" w:leftChars="1680"/>
        <w:jc w:val="left"/>
        <w:rPr>
          <w:rFonts w:ascii="宋体" w:hAnsi="宋体" w:cs="宋体"/>
          <w:color w:val="auto"/>
          <w:sz w:val="36"/>
          <w:szCs w:val="36"/>
          <w:highlight w:val="none"/>
        </w:rPr>
      </w:pPr>
    </w:p>
    <w:p>
      <w:pPr>
        <w:tabs>
          <w:tab w:val="left" w:pos="720"/>
        </w:tabs>
        <w:spacing w:line="360" w:lineRule="auto"/>
        <w:ind w:left="1800" w:hanging="1800"/>
        <w:jc w:val="left"/>
        <w:rPr>
          <w:rFonts w:ascii="宋体" w:hAnsi="宋体" w:cs="宋体"/>
          <w:b/>
          <w:color w:val="auto"/>
          <w:sz w:val="36"/>
          <w:szCs w:val="36"/>
          <w:highlight w:val="none"/>
        </w:rPr>
      </w:pPr>
      <w:r>
        <w:rPr>
          <w:rFonts w:hint="eastAsia" w:ascii="宋体" w:hAnsi="宋体" w:cs="宋体"/>
          <w:color w:val="auto"/>
          <w:sz w:val="36"/>
          <w:szCs w:val="36"/>
          <w:highlight w:val="none"/>
        </w:rPr>
        <w:t>项目名称：</w:t>
      </w:r>
      <w:r>
        <w:rPr>
          <w:rFonts w:hint="eastAsia" w:ascii="宋体" w:hAnsi="宋体" w:cs="宋体"/>
          <w:b/>
          <w:color w:val="auto"/>
          <w:sz w:val="36"/>
          <w:szCs w:val="36"/>
          <w:highlight w:val="none"/>
        </w:rPr>
        <w:t>化州市妇幼保健院绩效管理体系建设项目</w:t>
      </w:r>
    </w:p>
    <w:p>
      <w:pPr>
        <w:tabs>
          <w:tab w:val="left" w:pos="720"/>
        </w:tabs>
        <w:spacing w:line="360" w:lineRule="auto"/>
        <w:ind w:left="1800" w:hanging="1800"/>
        <w:jc w:val="left"/>
        <w:rPr>
          <w:rFonts w:ascii="宋体" w:hAnsi="宋体" w:cs="宋体"/>
          <w:color w:val="auto"/>
          <w:sz w:val="36"/>
          <w:szCs w:val="36"/>
          <w:highlight w:val="none"/>
          <w:u w:val="single"/>
        </w:rPr>
      </w:pPr>
      <w:r>
        <w:rPr>
          <w:rFonts w:hint="eastAsia" w:ascii="宋体" w:hAnsi="宋体" w:cs="宋体"/>
          <w:color w:val="auto"/>
          <w:sz w:val="36"/>
          <w:szCs w:val="36"/>
          <w:highlight w:val="none"/>
        </w:rPr>
        <w:t>包组号：</w:t>
      </w:r>
      <w:r>
        <w:rPr>
          <w:rFonts w:hint="eastAsia" w:ascii="宋体" w:hAnsi="宋体" w:cs="宋体"/>
          <w:color w:val="auto"/>
          <w:sz w:val="36"/>
          <w:szCs w:val="36"/>
          <w:highlight w:val="none"/>
          <w:u w:val="single"/>
        </w:rPr>
        <w:t xml:space="preserve"> </w:t>
      </w:r>
    </w:p>
    <w:p>
      <w:pPr>
        <w:tabs>
          <w:tab w:val="left" w:pos="720"/>
        </w:tabs>
        <w:spacing w:line="360" w:lineRule="auto"/>
        <w:ind w:left="3528" w:leftChars="1680"/>
        <w:jc w:val="left"/>
        <w:rPr>
          <w:rFonts w:ascii="宋体" w:hAnsi="宋体" w:cs="宋体"/>
          <w:color w:val="auto"/>
          <w:sz w:val="36"/>
          <w:szCs w:val="36"/>
          <w:highlight w:val="none"/>
        </w:rPr>
      </w:pPr>
    </w:p>
    <w:p>
      <w:pPr>
        <w:tabs>
          <w:tab w:val="left" w:pos="720"/>
        </w:tabs>
        <w:spacing w:line="360" w:lineRule="auto"/>
        <w:jc w:val="left"/>
        <w:rPr>
          <w:rFonts w:ascii="宋体" w:hAnsi="宋体" w:cs="宋体"/>
          <w:color w:val="auto"/>
          <w:sz w:val="36"/>
          <w:szCs w:val="36"/>
          <w:highlight w:val="none"/>
          <w:u w:val="single"/>
        </w:rPr>
      </w:pPr>
      <w:r>
        <w:rPr>
          <w:rFonts w:hint="eastAsia" w:ascii="宋体" w:hAnsi="宋体" w:cs="宋体"/>
          <w:color w:val="auto"/>
          <w:sz w:val="36"/>
          <w:szCs w:val="36"/>
          <w:highlight w:val="none"/>
        </w:rPr>
        <w:t>签订日期：</w:t>
      </w:r>
      <w:r>
        <w:rPr>
          <w:rFonts w:hint="eastAsia" w:ascii="宋体" w:hAnsi="宋体" w:cs="宋体"/>
          <w:color w:val="auto"/>
          <w:sz w:val="36"/>
          <w:szCs w:val="36"/>
          <w:highlight w:val="none"/>
          <w:u w:val="single"/>
        </w:rPr>
        <w:t xml:space="preserve">     2023年   月   日    </w:t>
      </w:r>
    </w:p>
    <w:p>
      <w:pPr>
        <w:spacing w:line="500" w:lineRule="exact"/>
        <w:jc w:val="center"/>
        <w:rPr>
          <w:rFonts w:ascii="宋体" w:hAnsi="宋体" w:cs="宋体"/>
          <w:b/>
          <w:color w:val="auto"/>
          <w:highlight w:val="none"/>
        </w:rPr>
      </w:pPr>
    </w:p>
    <w:p>
      <w:pPr>
        <w:spacing w:line="500" w:lineRule="exact"/>
        <w:jc w:val="center"/>
        <w:rPr>
          <w:rFonts w:ascii="宋体" w:hAnsi="宋体" w:cs="宋体"/>
          <w:b/>
          <w:color w:val="auto"/>
          <w:highlight w:val="none"/>
        </w:rPr>
      </w:pPr>
    </w:p>
    <w:p>
      <w:pPr>
        <w:spacing w:line="500" w:lineRule="exact"/>
        <w:jc w:val="center"/>
        <w:rPr>
          <w:rFonts w:ascii="宋体" w:hAnsi="宋体" w:cs="宋体"/>
          <w:b/>
          <w:color w:val="auto"/>
          <w:highlight w:val="none"/>
        </w:rPr>
      </w:pPr>
    </w:p>
    <w:p>
      <w:pPr>
        <w:spacing w:line="500" w:lineRule="exact"/>
        <w:jc w:val="center"/>
        <w:rPr>
          <w:rFonts w:ascii="宋体" w:hAnsi="宋体" w:cs="宋体"/>
          <w:b/>
          <w:color w:val="auto"/>
          <w:highlight w:val="none"/>
        </w:rPr>
      </w:pPr>
    </w:p>
    <w:p>
      <w:pPr>
        <w:spacing w:line="500" w:lineRule="exact"/>
        <w:jc w:val="center"/>
        <w:rPr>
          <w:rFonts w:ascii="宋体" w:hAnsi="宋体" w:cs="宋体"/>
          <w:b/>
          <w:color w:val="auto"/>
          <w:highlight w:val="none"/>
        </w:rPr>
      </w:pPr>
    </w:p>
    <w:p>
      <w:pPr>
        <w:spacing w:line="500" w:lineRule="exact"/>
        <w:jc w:val="center"/>
        <w:rPr>
          <w:rFonts w:ascii="宋体" w:hAnsi="宋体" w:cs="宋体"/>
          <w:b/>
          <w:color w:val="auto"/>
          <w:highlight w:val="none"/>
        </w:rPr>
      </w:pPr>
    </w:p>
    <w:p>
      <w:pPr>
        <w:rPr>
          <w:rFonts w:ascii="宋体" w:hAnsi="宋体" w:cs="宋体"/>
          <w:color w:val="auto"/>
          <w:highlight w:val="none"/>
        </w:rPr>
      </w:pPr>
      <w:r>
        <w:rPr>
          <w:rFonts w:hint="eastAsia" w:ascii="宋体" w:hAnsi="宋体" w:cs="宋体"/>
          <w:b/>
          <w:color w:val="auto"/>
          <w:sz w:val="24"/>
          <w:szCs w:val="24"/>
          <w:highlight w:val="none"/>
        </w:rPr>
        <w:t>注：</w:t>
      </w:r>
    </w:p>
    <w:p>
      <w:pPr>
        <w:rPr>
          <w:rFonts w:ascii="宋体" w:hAnsi="宋体" w:cs="宋体"/>
          <w:color w:val="auto"/>
          <w:highlight w:val="none"/>
        </w:rPr>
      </w:pPr>
      <w:r>
        <w:rPr>
          <w:rFonts w:hint="eastAsia" w:ascii="宋体" w:hAnsi="宋体" w:cs="宋体"/>
          <w:b/>
          <w:color w:val="auto"/>
          <w:sz w:val="24"/>
          <w:szCs w:val="24"/>
          <w:highlight w:val="none"/>
        </w:rPr>
        <w:t>本合同仅为合同的参考文本，合同签订双方可根据项目的具体要求进行修订，但不得偏离实质性条款。</w:t>
      </w:r>
    </w:p>
    <w:p>
      <w:pPr>
        <w:spacing w:line="500" w:lineRule="exact"/>
        <w:jc w:val="center"/>
        <w:rPr>
          <w:rFonts w:ascii="宋体" w:hAnsi="宋体" w:cs="宋体"/>
          <w:color w:val="auto"/>
          <w:sz w:val="44"/>
          <w:szCs w:val="44"/>
          <w:highlight w:val="none"/>
        </w:rPr>
      </w:pPr>
      <w:r>
        <w:rPr>
          <w:rFonts w:hint="eastAsia" w:ascii="宋体" w:hAnsi="宋体" w:cs="宋体"/>
          <w:color w:val="auto"/>
          <w:highlight w:val="none"/>
        </w:rPr>
        <w:br w:type="page"/>
      </w:r>
    </w:p>
    <w:p>
      <w:pPr>
        <w:rPr>
          <w:rFonts w:cs="Times New Roman"/>
          <w:color w:val="auto"/>
          <w:highlight w:val="none"/>
        </w:rPr>
      </w:pPr>
      <w:r>
        <w:rPr>
          <w:rFonts w:ascii="宋体" w:hAnsi="宋体"/>
          <w:b/>
          <w:bCs/>
          <w:color w:val="auto"/>
          <w:sz w:val="24"/>
          <w:szCs w:val="24"/>
          <w:highlight w:val="none"/>
        </w:rPr>
        <w:t>甲方：</w:t>
      </w:r>
      <w:r>
        <w:rPr>
          <w:rFonts w:cs="Times New Roman"/>
          <w:color w:val="auto"/>
          <w:highlight w:val="none"/>
        </w:rPr>
        <w:t xml:space="preserve"> </w:t>
      </w:r>
    </w:p>
    <w:p>
      <w:pPr>
        <w:rPr>
          <w:color w:val="auto"/>
          <w:highlight w:val="none"/>
        </w:rPr>
      </w:pPr>
      <w:r>
        <w:rPr>
          <w:rFonts w:ascii="宋体" w:hAnsi="宋体"/>
          <w:b/>
          <w:bCs/>
          <w:color w:val="auto"/>
          <w:sz w:val="24"/>
          <w:szCs w:val="24"/>
          <w:highlight w:val="none"/>
        </w:rPr>
        <w:t>乙方：</w:t>
      </w:r>
    </w:p>
    <w:p>
      <w:pPr>
        <w:snapToGrid w:val="0"/>
        <w:spacing w:line="360" w:lineRule="auto"/>
        <w:ind w:firstLine="480" w:firstLineChars="200"/>
        <w:rPr>
          <w:color w:val="auto"/>
          <w:sz w:val="24"/>
          <w:highlight w:val="none"/>
        </w:rPr>
      </w:pPr>
    </w:p>
    <w:p>
      <w:pPr>
        <w:snapToGrid w:val="0"/>
        <w:spacing w:line="360" w:lineRule="auto"/>
        <w:ind w:firstLine="480" w:firstLineChars="200"/>
        <w:rPr>
          <w:color w:val="auto"/>
          <w:sz w:val="24"/>
          <w:highlight w:val="none"/>
        </w:rPr>
      </w:pPr>
      <w:r>
        <w:rPr>
          <w:color w:val="auto"/>
          <w:sz w:val="24"/>
          <w:highlight w:val="none"/>
        </w:rPr>
        <w:t>根据《中华人民共和国民法典》等法律法规的相关规定，经甲乙双方协商一致，</w:t>
      </w:r>
      <w:r>
        <w:rPr>
          <w:rFonts w:hint="eastAsia"/>
          <w:color w:val="auto"/>
          <w:sz w:val="24"/>
          <w:highlight w:val="none"/>
        </w:rPr>
        <w:t>对</w:t>
      </w:r>
      <w:r>
        <w:rPr>
          <w:color w:val="auto"/>
          <w:sz w:val="24"/>
          <w:highlight w:val="none"/>
        </w:rPr>
        <w:t>“</w:t>
      </w:r>
      <w:r>
        <w:rPr>
          <w:rFonts w:hint="eastAsia"/>
          <w:color w:val="auto"/>
          <w:sz w:val="24"/>
          <w:highlight w:val="none"/>
        </w:rPr>
        <w:t>化州市妇幼保健院绩效管理体系建设项目</w:t>
      </w:r>
      <w:r>
        <w:rPr>
          <w:color w:val="auto"/>
          <w:sz w:val="24"/>
          <w:highlight w:val="none"/>
        </w:rPr>
        <w:t>”有关事项，签订本合同。</w:t>
      </w:r>
    </w:p>
    <w:p>
      <w:pPr>
        <w:spacing w:line="360" w:lineRule="auto"/>
        <w:rPr>
          <w:color w:val="auto"/>
          <w:highlight w:val="none"/>
        </w:rPr>
      </w:pPr>
      <w:r>
        <w:rPr>
          <w:rFonts w:hint="eastAsia"/>
          <w:b/>
          <w:bCs/>
          <w:color w:val="auto"/>
          <w:sz w:val="24"/>
          <w:szCs w:val="24"/>
          <w:highlight w:val="none"/>
        </w:rPr>
        <w:t>一、</w:t>
      </w:r>
      <w:r>
        <w:rPr>
          <w:rFonts w:ascii="宋体" w:hAnsi="宋体"/>
          <w:b/>
          <w:bCs/>
          <w:color w:val="auto"/>
          <w:sz w:val="24"/>
          <w:szCs w:val="24"/>
          <w:highlight w:val="none"/>
        </w:rPr>
        <w:t>履行期限、地点</w:t>
      </w:r>
    </w:p>
    <w:p>
      <w:pPr>
        <w:snapToGrid w:val="0"/>
        <w:spacing w:line="360" w:lineRule="auto"/>
        <w:ind w:firstLine="480" w:firstLineChars="200"/>
        <w:rPr>
          <w:color w:val="auto"/>
          <w:sz w:val="24"/>
          <w:highlight w:val="none"/>
        </w:rPr>
      </w:pPr>
      <w:r>
        <w:rPr>
          <w:color w:val="auto"/>
          <w:sz w:val="24"/>
          <w:highlight w:val="none"/>
        </w:rPr>
        <w:t>履行</w:t>
      </w:r>
      <w:r>
        <w:rPr>
          <w:rFonts w:hint="eastAsia"/>
          <w:color w:val="auto"/>
          <w:sz w:val="24"/>
          <w:highlight w:val="none"/>
        </w:rPr>
        <w:t>期限</w:t>
      </w:r>
      <w:r>
        <w:rPr>
          <w:color w:val="auto"/>
          <w:sz w:val="24"/>
          <w:highlight w:val="none"/>
        </w:rPr>
        <w:t>：</w:t>
      </w:r>
      <w:r>
        <w:rPr>
          <w:rFonts w:hint="eastAsia"/>
          <w:color w:val="auto"/>
          <w:sz w:val="24"/>
          <w:highlight w:val="none"/>
        </w:rPr>
        <w:t>医院大数据分析展示及数据分析服务的履行期限为合同签订后一年；绩效咨询方案的履行期限为</w:t>
      </w:r>
      <w:r>
        <w:rPr>
          <w:color w:val="auto"/>
          <w:sz w:val="24"/>
          <w:highlight w:val="none"/>
        </w:rPr>
        <w:t>本合同签订后</w:t>
      </w:r>
      <w:r>
        <w:rPr>
          <w:rFonts w:hint="eastAsia"/>
          <w:color w:val="auto"/>
          <w:sz w:val="24"/>
          <w:highlight w:val="none"/>
        </w:rPr>
        <w:t>2周内开始进场工作，</w:t>
      </w:r>
      <w:r>
        <w:rPr>
          <w:color w:val="auto"/>
          <w:sz w:val="24"/>
          <w:highlight w:val="none"/>
        </w:rPr>
        <w:t>合同签订 6个月内完成本</w:t>
      </w:r>
      <w:r>
        <w:rPr>
          <w:rFonts w:hint="eastAsia"/>
          <w:color w:val="auto"/>
          <w:sz w:val="24"/>
          <w:highlight w:val="none"/>
        </w:rPr>
        <w:t>绩效方案分配</w:t>
      </w:r>
      <w:r>
        <w:rPr>
          <w:color w:val="auto"/>
          <w:sz w:val="24"/>
          <w:highlight w:val="none"/>
        </w:rPr>
        <w:t>项目（含验收通过时间）。</w:t>
      </w:r>
    </w:p>
    <w:p>
      <w:pPr>
        <w:snapToGrid w:val="0"/>
        <w:spacing w:line="360" w:lineRule="auto"/>
        <w:ind w:firstLine="480" w:firstLineChars="200"/>
        <w:rPr>
          <w:color w:val="auto"/>
          <w:sz w:val="24"/>
          <w:highlight w:val="none"/>
        </w:rPr>
      </w:pPr>
      <w:r>
        <w:rPr>
          <w:rFonts w:hint="eastAsia"/>
          <w:color w:val="auto"/>
          <w:sz w:val="24"/>
          <w:highlight w:val="none"/>
        </w:rPr>
        <w:t>地点</w:t>
      </w:r>
      <w:r>
        <w:rPr>
          <w:color w:val="auto"/>
          <w:sz w:val="24"/>
          <w:highlight w:val="none"/>
        </w:rPr>
        <w:t>：</w:t>
      </w:r>
      <w:r>
        <w:rPr>
          <w:rFonts w:hint="eastAsia"/>
          <w:color w:val="auto"/>
          <w:sz w:val="24"/>
          <w:highlight w:val="none"/>
        </w:rPr>
        <w:t>化州市妇幼保健院</w:t>
      </w:r>
      <w:r>
        <w:rPr>
          <w:color w:val="auto"/>
          <w:sz w:val="24"/>
          <w:highlight w:val="none"/>
        </w:rPr>
        <w:t>。</w:t>
      </w:r>
    </w:p>
    <w:p>
      <w:pPr>
        <w:spacing w:line="360" w:lineRule="auto"/>
        <w:rPr>
          <w:rFonts w:ascii="宋体" w:hAnsi="宋体"/>
          <w:b/>
          <w:bCs/>
          <w:color w:val="auto"/>
          <w:sz w:val="24"/>
          <w:szCs w:val="24"/>
          <w:highlight w:val="none"/>
        </w:rPr>
      </w:pPr>
      <w:r>
        <w:rPr>
          <w:color w:val="auto"/>
          <w:highlight w:val="none"/>
        </w:rPr>
        <w:t xml:space="preserve"> </w:t>
      </w:r>
      <w:r>
        <w:rPr>
          <w:rFonts w:hint="eastAsia"/>
          <w:b/>
          <w:bCs/>
          <w:color w:val="auto"/>
          <w:sz w:val="24"/>
          <w:szCs w:val="24"/>
          <w:highlight w:val="none"/>
        </w:rPr>
        <w:t>二</w:t>
      </w:r>
      <w:r>
        <w:rPr>
          <w:rFonts w:ascii="宋体" w:hAnsi="宋体"/>
          <w:b/>
          <w:bCs/>
          <w:color w:val="auto"/>
          <w:sz w:val="24"/>
          <w:szCs w:val="24"/>
          <w:highlight w:val="none"/>
        </w:rPr>
        <w:t>、合同价格</w:t>
      </w:r>
    </w:p>
    <w:p>
      <w:pPr>
        <w:snapToGrid w:val="0"/>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合同总价为￥</w:t>
      </w:r>
      <w:r>
        <w:rPr>
          <w:rFonts w:hint="eastAsia"/>
          <w:color w:val="auto"/>
          <w:sz w:val="24"/>
          <w:highlight w:val="none"/>
        </w:rPr>
        <w:t xml:space="preserve"> </w:t>
      </w:r>
      <w:r>
        <w:rPr>
          <w:color w:val="auto"/>
          <w:sz w:val="24"/>
          <w:highlight w:val="none"/>
        </w:rPr>
        <w:t xml:space="preserve"> （大写：</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费用包含服务费、培训费、税金、交通食宿费等乙方因履行本项目产生的一切费用</w:t>
      </w:r>
      <w:r>
        <w:rPr>
          <w:color w:val="auto"/>
          <w:sz w:val="24"/>
          <w:highlight w:val="none"/>
        </w:rPr>
        <w:t>。</w:t>
      </w:r>
    </w:p>
    <w:p>
      <w:pPr>
        <w:snapToGrid w:val="0"/>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甲方不再支付除合同价款以外的任何费用。本合同执行期间合同总金额不变。</w:t>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三、</w:t>
      </w:r>
      <w:r>
        <w:rPr>
          <w:rFonts w:ascii="宋体" w:hAnsi="宋体"/>
          <w:b/>
          <w:bCs/>
          <w:color w:val="auto"/>
          <w:sz w:val="24"/>
          <w:szCs w:val="24"/>
          <w:highlight w:val="none"/>
        </w:rPr>
        <w:t>合同支付方式</w:t>
      </w:r>
    </w:p>
    <w:p>
      <w:pPr>
        <w:snapToGrid w:val="0"/>
        <w:spacing w:line="360" w:lineRule="auto"/>
        <w:ind w:firstLine="240" w:firstLineChars="100"/>
        <w:rPr>
          <w:color w:val="auto"/>
          <w:sz w:val="24"/>
          <w:highlight w:val="none"/>
        </w:rPr>
      </w:pPr>
      <w:r>
        <w:rPr>
          <w:rFonts w:hint="eastAsia"/>
          <w:color w:val="auto"/>
          <w:sz w:val="24"/>
          <w:highlight w:val="none"/>
        </w:rPr>
        <w:t>第一期：合同签订后，本项目进场前一周内，甲方支付合同额的20%；</w:t>
      </w:r>
    </w:p>
    <w:p>
      <w:pPr>
        <w:snapToGrid w:val="0"/>
        <w:spacing w:line="360" w:lineRule="auto"/>
        <w:ind w:firstLine="240" w:firstLineChars="100"/>
        <w:rPr>
          <w:color w:val="auto"/>
          <w:sz w:val="24"/>
          <w:highlight w:val="none"/>
        </w:rPr>
      </w:pPr>
      <w:r>
        <w:rPr>
          <w:rFonts w:hint="eastAsia"/>
          <w:color w:val="auto"/>
          <w:sz w:val="24"/>
          <w:highlight w:val="none"/>
        </w:rPr>
        <w:t>第二期：乙方向甲方提交医院绩效管理调研报告后一周内，甲方支付合同额的20%；</w:t>
      </w:r>
    </w:p>
    <w:p>
      <w:pPr>
        <w:snapToGrid w:val="0"/>
        <w:spacing w:line="360" w:lineRule="auto"/>
        <w:ind w:left="210" w:leftChars="100" w:firstLine="0" w:firstLineChars="0"/>
        <w:rPr>
          <w:rFonts w:ascii="宋体" w:hAnsi="宋体" w:cs="宋体"/>
          <w:color w:val="auto"/>
          <w:sz w:val="24"/>
          <w:szCs w:val="24"/>
          <w:highlight w:val="none"/>
        </w:rPr>
      </w:pPr>
      <w:r>
        <w:rPr>
          <w:rFonts w:hint="eastAsia"/>
          <w:color w:val="auto"/>
          <w:sz w:val="24"/>
          <w:highlight w:val="none"/>
        </w:rPr>
        <w:t>第三期：初版绩效分配方案及绩效测算结果经甲方确认后，甲方支付合同额的30%；</w:t>
      </w:r>
      <w:r>
        <w:rPr>
          <w:rFonts w:hint="eastAsia" w:ascii="宋体" w:hAnsi="宋体" w:cs="宋体"/>
          <w:color w:val="auto"/>
          <w:sz w:val="24"/>
          <w:szCs w:val="24"/>
          <w:highlight w:val="none"/>
        </w:rPr>
        <w:t>第四期：按新的绩效方案发放绩效三个月后，成交供应商根据发放效果改进绩效方案，改进后再行组织验收，在最终版绩效方案确认后一周内付合同额的25%，数据分析服务期满后一周内，采购人支付合同额的5%。</w:t>
      </w:r>
    </w:p>
    <w:p>
      <w:pPr>
        <w:snapToGrid w:val="0"/>
        <w:spacing w:line="360" w:lineRule="auto"/>
        <w:ind w:firstLine="480" w:firstLineChars="200"/>
        <w:rPr>
          <w:color w:val="auto"/>
          <w:sz w:val="24"/>
          <w:highlight w:val="none"/>
        </w:rPr>
      </w:pPr>
      <w:r>
        <w:rPr>
          <w:rFonts w:hint="eastAsia"/>
          <w:color w:val="auto"/>
          <w:sz w:val="24"/>
          <w:highlight w:val="none"/>
        </w:rPr>
        <w:t>每次付款前，乙方向甲方开具等额票据。</w:t>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四</w:t>
      </w:r>
      <w:r>
        <w:rPr>
          <w:rFonts w:ascii="宋体" w:hAnsi="宋体"/>
          <w:b/>
          <w:bCs/>
          <w:color w:val="auto"/>
          <w:sz w:val="24"/>
          <w:szCs w:val="24"/>
          <w:highlight w:val="none"/>
        </w:rPr>
        <w:t>、双方权利与义务</w:t>
      </w:r>
    </w:p>
    <w:p>
      <w:pPr>
        <w:spacing w:line="360" w:lineRule="auto"/>
        <w:ind w:firstLine="482"/>
        <w:rPr>
          <w:color w:val="auto"/>
          <w:highlight w:val="none"/>
        </w:rPr>
      </w:pPr>
      <w:r>
        <w:rPr>
          <w:b/>
          <w:bCs/>
          <w:color w:val="auto"/>
          <w:sz w:val="24"/>
          <w:szCs w:val="24"/>
          <w:highlight w:val="none"/>
        </w:rPr>
        <w:t>1</w:t>
      </w:r>
      <w:r>
        <w:rPr>
          <w:rFonts w:hint="eastAsia"/>
          <w:b/>
          <w:bCs/>
          <w:color w:val="auto"/>
          <w:sz w:val="24"/>
          <w:szCs w:val="24"/>
          <w:highlight w:val="none"/>
        </w:rPr>
        <w:t>、</w:t>
      </w:r>
      <w:r>
        <w:rPr>
          <w:rFonts w:ascii="宋体" w:hAnsi="宋体"/>
          <w:b/>
          <w:bCs/>
          <w:color w:val="auto"/>
          <w:sz w:val="24"/>
          <w:szCs w:val="24"/>
          <w:highlight w:val="none"/>
        </w:rPr>
        <w:t>甲方权利与义务</w:t>
      </w:r>
    </w:p>
    <w:p>
      <w:pPr>
        <w:snapToGrid w:val="0"/>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甲方应向乙方提供绩效管理相关数据资料及甲方相关规章制度、文件。</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w:t>
      </w:r>
      <w:r>
        <w:rPr>
          <w:color w:val="auto"/>
          <w:sz w:val="24"/>
          <w:highlight w:val="none"/>
        </w:rPr>
        <w:t>甲方应为乙方专家、项目成员提供相应办公场所及互联网等基本办公条件。乙方需自备电脑、软件等设备。</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甲方指派人员</w:t>
      </w:r>
      <w:r>
        <w:rPr>
          <w:rFonts w:hint="eastAsia"/>
          <w:color w:val="auto"/>
          <w:sz w:val="24"/>
          <w:highlight w:val="none"/>
        </w:rPr>
        <w:t>协助</w:t>
      </w:r>
      <w:r>
        <w:rPr>
          <w:color w:val="auto"/>
          <w:sz w:val="24"/>
          <w:highlight w:val="none"/>
        </w:rPr>
        <w:t>乙方开展项目工作，了解方案制订原理及软件功能，并协助获取项目所需文件资料及数据。</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甲方应协调与本项目相关的甲方科室和部门及甲方其他相关软件系统供应商与乙方的关系。</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w:t>
      </w:r>
      <w:r>
        <w:rPr>
          <w:color w:val="auto"/>
          <w:sz w:val="24"/>
          <w:highlight w:val="none"/>
        </w:rPr>
        <w:t>甲方根据合同所规定的期限及要求按时向乙方支付费用。</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w:t>
      </w:r>
      <w:r>
        <w:rPr>
          <w:color w:val="auto"/>
          <w:sz w:val="24"/>
          <w:highlight w:val="none"/>
        </w:rPr>
        <w:t>甲方有权对项目管理工作进行检查和督促，有权要求乙方更换不称职的项目人员。</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7</w:t>
      </w:r>
      <w:r>
        <w:rPr>
          <w:rFonts w:hint="eastAsia"/>
          <w:color w:val="auto"/>
          <w:sz w:val="24"/>
          <w:highlight w:val="none"/>
        </w:rPr>
        <w:t>）</w:t>
      </w:r>
      <w:r>
        <w:rPr>
          <w:color w:val="auto"/>
          <w:sz w:val="24"/>
          <w:highlight w:val="none"/>
        </w:rPr>
        <w:t>甲方有权要求乙方提交工作进度报告。</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8</w:t>
      </w:r>
      <w:r>
        <w:rPr>
          <w:rFonts w:hint="eastAsia"/>
          <w:color w:val="auto"/>
          <w:sz w:val="24"/>
          <w:highlight w:val="none"/>
        </w:rPr>
        <w:t>）</w:t>
      </w:r>
      <w:r>
        <w:rPr>
          <w:color w:val="auto"/>
          <w:sz w:val="24"/>
          <w:highlight w:val="none"/>
        </w:rPr>
        <w:t>乙方若无法在人员保证、进度控制或交付文件质量上得到甲方认可，甲方有权要求乙方作出整改直至甲方认可为止。</w:t>
      </w:r>
    </w:p>
    <w:p>
      <w:pPr>
        <w:spacing w:line="360" w:lineRule="auto"/>
        <w:ind w:firstLine="482"/>
        <w:rPr>
          <w:color w:val="auto"/>
          <w:highlight w:val="none"/>
        </w:rPr>
      </w:pPr>
      <w:r>
        <w:rPr>
          <w:b/>
          <w:bCs/>
          <w:color w:val="auto"/>
          <w:sz w:val="24"/>
          <w:szCs w:val="24"/>
          <w:highlight w:val="none"/>
        </w:rPr>
        <w:t>2</w:t>
      </w:r>
      <w:r>
        <w:rPr>
          <w:rFonts w:hint="eastAsia"/>
          <w:b/>
          <w:bCs/>
          <w:color w:val="auto"/>
          <w:sz w:val="24"/>
          <w:szCs w:val="24"/>
          <w:highlight w:val="none"/>
        </w:rPr>
        <w:t>、</w:t>
      </w:r>
      <w:r>
        <w:rPr>
          <w:rFonts w:ascii="宋体" w:hAnsi="宋体"/>
          <w:b/>
          <w:bCs/>
          <w:color w:val="auto"/>
          <w:sz w:val="24"/>
          <w:szCs w:val="24"/>
          <w:highlight w:val="none"/>
        </w:rPr>
        <w:t>乙方权利与义务</w:t>
      </w:r>
    </w:p>
    <w:p>
      <w:pPr>
        <w:snapToGrid w:val="0"/>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乙方应在本合同生效后5个工作日内，派出与</w:t>
      </w:r>
      <w:r>
        <w:rPr>
          <w:rFonts w:hint="eastAsia"/>
          <w:color w:val="auto"/>
          <w:sz w:val="24"/>
          <w:highlight w:val="none"/>
        </w:rPr>
        <w:t>响应</w:t>
      </w:r>
      <w:r>
        <w:rPr>
          <w:color w:val="auto"/>
          <w:sz w:val="24"/>
          <w:highlight w:val="none"/>
        </w:rPr>
        <w:t>文件相符的项目组人员，开展项目实施工作。</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w:t>
      </w:r>
      <w:r>
        <w:rPr>
          <w:color w:val="auto"/>
          <w:sz w:val="24"/>
          <w:highlight w:val="none"/>
        </w:rPr>
        <w:t>乙方应承担项目管理责任，承担项目管理的相关文书工作。</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乙方可根据项目进展情况，对项目人员进行合理调整，但须经甲方书面同意，同时应保持主要项目负责人的稳定性。</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乙方应根据甲方需求目标及工作要求，按时、保质、保量完成本项目。</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w:t>
      </w:r>
      <w:r>
        <w:rPr>
          <w:color w:val="auto"/>
          <w:sz w:val="24"/>
          <w:highlight w:val="none"/>
        </w:rPr>
        <w:t>乙方须向甲方交付技术资料三套纸质版和一套电子版。如果技术资料不完整或丢失，乙方应在接到甲方通知后10天内补足。</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w:t>
      </w:r>
      <w:r>
        <w:rPr>
          <w:color w:val="auto"/>
          <w:sz w:val="24"/>
          <w:highlight w:val="none"/>
        </w:rPr>
        <w:t>乙方应向甲方提交的项目成果文件（包括但不限于）：</w:t>
      </w:r>
    </w:p>
    <w:p>
      <w:pPr>
        <w:snapToGrid w:val="0"/>
        <w:spacing w:line="360" w:lineRule="auto"/>
        <w:ind w:firstLine="480" w:firstLineChars="200"/>
        <w:rPr>
          <w:color w:val="auto"/>
          <w:sz w:val="24"/>
          <w:highlight w:val="none"/>
        </w:rPr>
      </w:pPr>
      <w:r>
        <w:rPr>
          <w:rFonts w:hint="eastAsia"/>
          <w:color w:val="auto"/>
          <w:sz w:val="24"/>
          <w:highlight w:val="none"/>
        </w:rPr>
        <w:t>1）医院医学信息数据统计分析报告(以   为单位频次出具报告)；</w:t>
      </w:r>
    </w:p>
    <w:p>
      <w:pPr>
        <w:snapToGrid w:val="0"/>
        <w:spacing w:line="360" w:lineRule="auto"/>
        <w:ind w:firstLine="480" w:firstLineChars="200"/>
        <w:rPr>
          <w:color w:val="auto"/>
          <w:sz w:val="24"/>
          <w:highlight w:val="none"/>
        </w:rPr>
      </w:pPr>
      <w:r>
        <w:rPr>
          <w:rFonts w:hint="eastAsia"/>
          <w:color w:val="auto"/>
          <w:sz w:val="24"/>
          <w:highlight w:val="none"/>
        </w:rPr>
        <w:t>2）医院绩效管理调研报告及医院绩效分配方案；</w:t>
      </w:r>
    </w:p>
    <w:p>
      <w:pPr>
        <w:snapToGrid w:val="0"/>
        <w:spacing w:line="360" w:lineRule="auto"/>
        <w:ind w:firstLine="480" w:firstLineChars="200"/>
        <w:rPr>
          <w:color w:val="auto"/>
          <w:sz w:val="24"/>
          <w:highlight w:val="none"/>
        </w:rPr>
      </w:pPr>
      <w:r>
        <w:rPr>
          <w:rFonts w:hint="eastAsia"/>
          <w:color w:val="auto"/>
          <w:sz w:val="24"/>
          <w:highlight w:val="none"/>
        </w:rPr>
        <w:t>3）科室经济核算及可控成本管理方案；</w:t>
      </w:r>
    </w:p>
    <w:p>
      <w:pPr>
        <w:snapToGrid w:val="0"/>
        <w:spacing w:line="360" w:lineRule="auto"/>
        <w:ind w:firstLine="480" w:firstLineChars="200"/>
        <w:rPr>
          <w:color w:val="auto"/>
          <w:sz w:val="24"/>
          <w:highlight w:val="none"/>
        </w:rPr>
      </w:pPr>
      <w:r>
        <w:rPr>
          <w:rFonts w:hint="eastAsia"/>
          <w:color w:val="auto"/>
          <w:sz w:val="24"/>
          <w:highlight w:val="none"/>
        </w:rPr>
        <w:t>4）医院绩效考核框架性方案；</w:t>
      </w:r>
    </w:p>
    <w:p>
      <w:pPr>
        <w:snapToGrid w:val="0"/>
        <w:spacing w:line="360" w:lineRule="auto"/>
        <w:ind w:firstLine="480" w:firstLineChars="200"/>
        <w:rPr>
          <w:color w:val="auto"/>
          <w:sz w:val="24"/>
          <w:highlight w:val="none"/>
        </w:rPr>
      </w:pPr>
      <w:r>
        <w:rPr>
          <w:rFonts w:hint="eastAsia"/>
          <w:color w:val="auto"/>
          <w:sz w:val="24"/>
          <w:highlight w:val="none"/>
        </w:rPr>
        <w:t>5）绩效工资数据测算表；</w:t>
      </w:r>
    </w:p>
    <w:p>
      <w:pPr>
        <w:snapToGrid w:val="0"/>
        <w:spacing w:line="360" w:lineRule="auto"/>
        <w:ind w:firstLine="480" w:firstLineChars="200"/>
        <w:rPr>
          <w:color w:val="auto"/>
          <w:sz w:val="24"/>
          <w:highlight w:val="none"/>
        </w:rPr>
      </w:pPr>
      <w:r>
        <w:rPr>
          <w:rFonts w:hint="eastAsia"/>
          <w:color w:val="auto"/>
          <w:sz w:val="24"/>
          <w:highlight w:val="none"/>
        </w:rPr>
        <w:t>6）绩效方案二次分配指导意见及各科室二次分配方案；</w:t>
      </w:r>
    </w:p>
    <w:p>
      <w:pPr>
        <w:snapToGrid w:val="0"/>
        <w:spacing w:line="360" w:lineRule="auto"/>
        <w:ind w:firstLine="480" w:firstLineChars="200"/>
        <w:rPr>
          <w:color w:val="auto"/>
          <w:sz w:val="24"/>
          <w:highlight w:val="none"/>
        </w:rPr>
      </w:pPr>
      <w:r>
        <w:rPr>
          <w:rFonts w:hint="eastAsia" w:ascii="宋体" w:hAnsi="宋体" w:cs="宋体"/>
          <w:color w:val="auto"/>
          <w:sz w:val="24"/>
          <w:szCs w:val="24"/>
          <w:highlight w:val="none"/>
        </w:rPr>
        <w:t>7）试运行后总结报告。</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7</w:t>
      </w:r>
      <w:r>
        <w:rPr>
          <w:rFonts w:hint="eastAsia"/>
          <w:color w:val="auto"/>
          <w:sz w:val="24"/>
          <w:highlight w:val="none"/>
        </w:rPr>
        <w:t>）</w:t>
      </w:r>
      <w:r>
        <w:rPr>
          <w:color w:val="auto"/>
          <w:sz w:val="24"/>
          <w:highlight w:val="none"/>
        </w:rPr>
        <w:t>乙方应确保提交的项目成果文件不得侵犯任何第三方的知识产权等合法权益，否则乙方应承担相关的法律责任，并赔偿甲方因此遭受的损失，包括但不限于经济损失、律师费、诉讼费等；</w:t>
      </w:r>
    </w:p>
    <w:p>
      <w:pPr>
        <w:snapToGrid w:val="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8</w:t>
      </w:r>
      <w:r>
        <w:rPr>
          <w:rFonts w:hint="eastAsia"/>
          <w:color w:val="auto"/>
          <w:sz w:val="24"/>
          <w:highlight w:val="none"/>
        </w:rPr>
        <w:t>）</w:t>
      </w:r>
      <w:r>
        <w:rPr>
          <w:color w:val="auto"/>
          <w:sz w:val="24"/>
          <w:highlight w:val="none"/>
        </w:rPr>
        <w:t>乙方人员在甲方工作场所内须遵守甲方的规章制度，自觉维护甲方提供的办公设施。</w:t>
      </w:r>
      <w:r>
        <w:rPr>
          <w:rFonts w:hint="eastAsia"/>
          <w:color w:val="auto"/>
          <w:sz w:val="24"/>
          <w:highlight w:val="none"/>
        </w:rPr>
        <w:t>乙方履行本合同过程中，不允许利用甲方提供的相关资料和工作条件进行与本项目无关的工作。</w:t>
      </w:r>
    </w:p>
    <w:p>
      <w:pPr>
        <w:snapToGrid w:val="0"/>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、主要工作内容：</w:t>
      </w:r>
    </w:p>
    <w:p>
      <w:pPr>
        <w:snapToGrid w:val="0"/>
        <w:spacing w:line="360" w:lineRule="auto"/>
        <w:ind w:firstLine="480" w:firstLineChars="200"/>
        <w:rPr>
          <w:color w:val="auto"/>
          <w:sz w:val="24"/>
          <w:highlight w:val="none"/>
        </w:rPr>
      </w:pPr>
      <w:r>
        <w:rPr>
          <w:rFonts w:hint="eastAsia"/>
          <w:color w:val="auto"/>
          <w:sz w:val="24"/>
          <w:highlight w:val="none"/>
        </w:rPr>
        <w:t>（一）医院大数据分析展示及数据分析服务：将医院内的所有医院信息整合统一，打破院内患者信息的孤岛化，实现患者信息的整合性、连贯性，患者信息标准化，实现医院间数据可比性。利用大数据技术进行数据挖掘，掌握本医院疾病流行病学数据，了解本医院医疗负担的分布构成，了解本医院医疗决策行为的真实情况，掌握本医院患者的医疗支付情况，了解本医院患者的就医行为模式，为医院运营能力提升提供数据化的支持。</w:t>
      </w:r>
    </w:p>
    <w:p>
      <w:pPr>
        <w:snapToGrid w:val="0"/>
        <w:spacing w:line="360" w:lineRule="auto"/>
        <w:ind w:firstLine="480" w:firstLineChars="200"/>
        <w:rPr>
          <w:color w:val="auto"/>
          <w:sz w:val="24"/>
          <w:highlight w:val="none"/>
        </w:rPr>
      </w:pPr>
      <w:r>
        <w:rPr>
          <w:rFonts w:hint="eastAsia"/>
          <w:color w:val="auto"/>
          <w:sz w:val="24"/>
          <w:highlight w:val="none"/>
        </w:rPr>
        <w:t>内容包括：</w:t>
      </w:r>
    </w:p>
    <w:p>
      <w:pPr>
        <w:snapToGrid w:val="0"/>
        <w:spacing w:line="360" w:lineRule="auto"/>
        <w:ind w:firstLine="480" w:firstLineChars="200"/>
        <w:rPr>
          <w:color w:val="auto"/>
          <w:sz w:val="24"/>
          <w:highlight w:val="none"/>
        </w:rPr>
      </w:pPr>
      <w:r>
        <w:rPr>
          <w:rFonts w:hint="eastAsia"/>
          <w:color w:val="auto"/>
          <w:sz w:val="24"/>
          <w:highlight w:val="none"/>
        </w:rPr>
        <w:t>（1）对接医院的医学信息数据；</w:t>
      </w:r>
    </w:p>
    <w:p>
      <w:pPr>
        <w:snapToGrid w:val="0"/>
        <w:spacing w:line="360" w:lineRule="auto"/>
        <w:ind w:firstLine="480" w:firstLineChars="200"/>
        <w:rPr>
          <w:color w:val="auto"/>
          <w:sz w:val="24"/>
          <w:highlight w:val="none"/>
        </w:rPr>
      </w:pPr>
      <w:r>
        <w:rPr>
          <w:rFonts w:hint="eastAsia"/>
          <w:color w:val="auto"/>
          <w:sz w:val="24"/>
          <w:highlight w:val="none"/>
        </w:rPr>
        <w:t>（2）使用自主知识产权的数据采集工具，进行有效数据采集；</w:t>
      </w:r>
    </w:p>
    <w:p>
      <w:pPr>
        <w:snapToGrid w:val="0"/>
        <w:spacing w:line="360" w:lineRule="auto"/>
        <w:ind w:firstLine="480" w:firstLineChars="200"/>
        <w:rPr>
          <w:color w:val="auto"/>
          <w:sz w:val="24"/>
          <w:highlight w:val="none"/>
        </w:rPr>
      </w:pPr>
      <w:r>
        <w:rPr>
          <w:rFonts w:hint="eastAsia"/>
          <w:color w:val="auto"/>
          <w:sz w:val="24"/>
          <w:highlight w:val="none"/>
        </w:rPr>
        <w:t>（3）整理和清洗接入医院现有的数据；</w:t>
      </w:r>
    </w:p>
    <w:p>
      <w:pPr>
        <w:snapToGrid w:val="0"/>
        <w:spacing w:line="360" w:lineRule="auto"/>
        <w:ind w:firstLine="480" w:firstLineChars="200"/>
        <w:rPr>
          <w:color w:val="auto"/>
          <w:sz w:val="24"/>
          <w:highlight w:val="none"/>
        </w:rPr>
      </w:pPr>
      <w:r>
        <w:rPr>
          <w:rFonts w:hint="eastAsia"/>
          <w:color w:val="auto"/>
          <w:sz w:val="24"/>
          <w:highlight w:val="none"/>
        </w:rPr>
        <w:t>（4）建立标准化字典（模块标准化、字段标准化）；</w:t>
      </w:r>
    </w:p>
    <w:p>
      <w:pPr>
        <w:snapToGrid w:val="0"/>
        <w:spacing w:line="360" w:lineRule="auto"/>
        <w:ind w:firstLine="480" w:firstLineChars="200"/>
        <w:rPr>
          <w:color w:val="auto"/>
          <w:sz w:val="24"/>
          <w:highlight w:val="none"/>
        </w:rPr>
      </w:pPr>
      <w:r>
        <w:rPr>
          <w:rFonts w:hint="eastAsia"/>
          <w:color w:val="auto"/>
          <w:sz w:val="24"/>
          <w:highlight w:val="none"/>
        </w:rPr>
        <w:t>（5）使用自主知识产权的大数据算法和标准化知识库，构建区域云医疗大数据库，云医疗大数据需要建立在云端，通过云端计算后下发到院内服务器中；</w:t>
      </w:r>
    </w:p>
    <w:p>
      <w:pPr>
        <w:snapToGrid w:val="0"/>
        <w:spacing w:line="360" w:lineRule="auto"/>
        <w:ind w:firstLine="480" w:firstLineChars="200"/>
        <w:rPr>
          <w:color w:val="auto"/>
          <w:sz w:val="24"/>
          <w:highlight w:val="none"/>
        </w:rPr>
      </w:pPr>
      <w:r>
        <w:rPr>
          <w:rFonts w:hint="eastAsia"/>
          <w:color w:val="auto"/>
          <w:sz w:val="24"/>
          <w:highlight w:val="none"/>
        </w:rPr>
        <w:t>（6）进行医学信息数据统计分析；</w:t>
      </w:r>
    </w:p>
    <w:p>
      <w:pPr>
        <w:snapToGrid w:val="0"/>
        <w:spacing w:line="360" w:lineRule="auto"/>
        <w:ind w:firstLine="480" w:firstLineChars="200"/>
        <w:rPr>
          <w:color w:val="auto"/>
          <w:sz w:val="24"/>
          <w:highlight w:val="none"/>
        </w:rPr>
      </w:pPr>
      <w:r>
        <w:rPr>
          <w:rFonts w:hint="eastAsia"/>
          <w:color w:val="auto"/>
          <w:sz w:val="24"/>
          <w:highlight w:val="none"/>
        </w:rPr>
        <w:t>（7）提供医学信息数据平台展示；</w:t>
      </w:r>
    </w:p>
    <w:p>
      <w:pPr>
        <w:snapToGrid w:val="0"/>
        <w:spacing w:line="360" w:lineRule="auto"/>
        <w:ind w:firstLine="480" w:firstLineChars="200"/>
        <w:rPr>
          <w:color w:val="auto"/>
          <w:sz w:val="24"/>
          <w:highlight w:val="none"/>
        </w:rPr>
      </w:pPr>
      <w:r>
        <w:rPr>
          <w:rFonts w:hint="eastAsia"/>
          <w:color w:val="auto"/>
          <w:sz w:val="24"/>
          <w:highlight w:val="none"/>
        </w:rPr>
        <w:t>（8）进行基于大数据的医学信息数据分析服务；</w:t>
      </w:r>
    </w:p>
    <w:p>
      <w:pPr>
        <w:snapToGrid w:val="0"/>
        <w:spacing w:line="360" w:lineRule="auto"/>
        <w:ind w:firstLine="480" w:firstLineChars="200"/>
        <w:rPr>
          <w:color w:val="auto"/>
          <w:sz w:val="24"/>
          <w:highlight w:val="none"/>
        </w:rPr>
      </w:pPr>
      <w:r>
        <w:rPr>
          <w:rFonts w:hint="eastAsia"/>
          <w:color w:val="auto"/>
          <w:sz w:val="24"/>
          <w:highlight w:val="none"/>
        </w:rPr>
        <w:t>（9）医院自备常规独立的台式电脑作为前置机使用。</w:t>
      </w:r>
    </w:p>
    <w:p>
      <w:pPr>
        <w:snapToGrid w:val="0"/>
        <w:spacing w:line="360" w:lineRule="auto"/>
        <w:ind w:firstLine="480"/>
        <w:rPr>
          <w:rFonts w:ascii="宋体" w:hAnsi="宋体" w:cs="宋体"/>
          <w:color w:val="auto"/>
          <w:sz w:val="24"/>
          <w:szCs w:val="24"/>
          <w:highlight w:val="none"/>
        </w:rPr>
      </w:pPr>
    </w:p>
    <w:p>
      <w:pPr>
        <w:snapToGrid w:val="0"/>
        <w:spacing w:line="360" w:lineRule="auto"/>
        <w:ind w:firstLine="480" w:firstLineChars="200"/>
        <w:rPr>
          <w:color w:val="auto"/>
          <w:sz w:val="24"/>
          <w:highlight w:val="none"/>
        </w:rPr>
      </w:pPr>
      <w:r>
        <w:rPr>
          <w:rFonts w:hint="eastAsia"/>
          <w:color w:val="auto"/>
          <w:sz w:val="24"/>
          <w:highlight w:val="none"/>
        </w:rPr>
        <w:t>（二）绩效咨询方案内容</w:t>
      </w:r>
    </w:p>
    <w:p>
      <w:pPr>
        <w:snapToGrid w:val="0"/>
        <w:spacing w:line="360" w:lineRule="auto"/>
        <w:ind w:firstLine="480" w:firstLineChars="200"/>
        <w:rPr>
          <w:color w:val="auto"/>
          <w:sz w:val="24"/>
          <w:highlight w:val="none"/>
        </w:rPr>
      </w:pPr>
      <w:r>
        <w:rPr>
          <w:rFonts w:hint="eastAsia"/>
          <w:color w:val="auto"/>
          <w:sz w:val="24"/>
          <w:highlight w:val="none"/>
        </w:rPr>
        <w:t>1.绩效管理方案设计与实施内容：</w:t>
      </w:r>
    </w:p>
    <w:p>
      <w:pPr>
        <w:snapToGrid w:val="0"/>
        <w:spacing w:line="360" w:lineRule="auto"/>
        <w:ind w:firstLine="480" w:firstLineChars="200"/>
        <w:rPr>
          <w:color w:val="auto"/>
          <w:sz w:val="24"/>
          <w:highlight w:val="none"/>
        </w:rPr>
      </w:pPr>
      <w:r>
        <w:rPr>
          <w:rFonts w:hint="eastAsia"/>
          <w:color w:val="auto"/>
          <w:sz w:val="24"/>
          <w:highlight w:val="none"/>
        </w:rPr>
        <w:t>建立一套以预算比例法为基础，以DRGs/DIP工作量为依据的现代绩效管理体系，内容包括：</w:t>
      </w:r>
    </w:p>
    <w:p>
      <w:pPr>
        <w:snapToGrid w:val="0"/>
        <w:spacing w:line="360" w:lineRule="auto"/>
        <w:ind w:firstLine="480" w:firstLineChars="200"/>
        <w:rPr>
          <w:color w:val="auto"/>
          <w:sz w:val="24"/>
          <w:highlight w:val="none"/>
        </w:rPr>
      </w:pPr>
      <w:r>
        <w:rPr>
          <w:rFonts w:hint="eastAsia"/>
          <w:color w:val="auto"/>
          <w:sz w:val="24"/>
          <w:highlight w:val="none"/>
        </w:rPr>
        <w:t>（1）科室经济核算和可控成本管理方案设计与实施；</w:t>
      </w:r>
    </w:p>
    <w:p>
      <w:pPr>
        <w:snapToGrid w:val="0"/>
        <w:spacing w:line="360" w:lineRule="auto"/>
        <w:ind w:firstLine="480" w:firstLineChars="200"/>
        <w:rPr>
          <w:color w:val="auto"/>
          <w:sz w:val="24"/>
          <w:highlight w:val="none"/>
        </w:rPr>
      </w:pPr>
      <w:r>
        <w:rPr>
          <w:rFonts w:hint="eastAsia"/>
          <w:color w:val="auto"/>
          <w:sz w:val="24"/>
          <w:highlight w:val="none"/>
        </w:rPr>
        <w:t>（2）医院绩效工资一次分配方案设计与实施；</w:t>
      </w:r>
    </w:p>
    <w:p>
      <w:pPr>
        <w:snapToGrid w:val="0"/>
        <w:spacing w:line="360" w:lineRule="auto"/>
        <w:ind w:firstLine="480" w:firstLineChars="200"/>
        <w:rPr>
          <w:color w:val="auto"/>
          <w:sz w:val="24"/>
          <w:highlight w:val="none"/>
        </w:rPr>
      </w:pPr>
      <w:r>
        <w:rPr>
          <w:rFonts w:hint="eastAsia"/>
          <w:color w:val="auto"/>
          <w:sz w:val="24"/>
          <w:highlight w:val="none"/>
        </w:rPr>
        <w:t>（3）拟定科室绩效二次分配指导意见，指导和确定科室绩效工资二次分配方案设计与实施；</w:t>
      </w:r>
    </w:p>
    <w:p>
      <w:pPr>
        <w:snapToGrid w:val="0"/>
        <w:spacing w:line="360" w:lineRule="auto"/>
        <w:ind w:firstLine="480" w:firstLineChars="200"/>
        <w:rPr>
          <w:color w:val="auto"/>
          <w:sz w:val="24"/>
          <w:highlight w:val="none"/>
        </w:rPr>
      </w:pPr>
      <w:r>
        <w:rPr>
          <w:rFonts w:hint="eastAsia"/>
          <w:color w:val="auto"/>
          <w:sz w:val="24"/>
          <w:highlight w:val="none"/>
        </w:rPr>
        <w:t>（4）综合医院绩效考核方案设计与实施。</w:t>
      </w:r>
    </w:p>
    <w:p>
      <w:pPr>
        <w:snapToGrid w:val="0"/>
        <w:spacing w:line="360" w:lineRule="auto"/>
        <w:ind w:firstLine="480" w:firstLineChars="200"/>
        <w:rPr>
          <w:color w:val="auto"/>
          <w:sz w:val="24"/>
          <w:highlight w:val="none"/>
        </w:rPr>
      </w:pPr>
      <w:r>
        <w:rPr>
          <w:rFonts w:hint="eastAsia"/>
          <w:color w:val="auto"/>
          <w:sz w:val="24"/>
          <w:highlight w:val="none"/>
        </w:rPr>
        <w:t>2.绩效管理改革服务项目需求</w:t>
      </w:r>
    </w:p>
    <w:p>
      <w:pPr>
        <w:snapToGrid w:val="0"/>
        <w:spacing w:line="360" w:lineRule="auto"/>
        <w:ind w:firstLine="480" w:firstLineChars="200"/>
        <w:rPr>
          <w:color w:val="auto"/>
          <w:sz w:val="24"/>
          <w:highlight w:val="none"/>
        </w:rPr>
      </w:pPr>
      <w:r>
        <w:rPr>
          <w:rFonts w:hint="eastAsia"/>
          <w:color w:val="auto"/>
          <w:sz w:val="24"/>
          <w:highlight w:val="none"/>
        </w:rPr>
        <w:t>2.1医、技人员绩效考核方案</w:t>
      </w:r>
    </w:p>
    <w:p>
      <w:pPr>
        <w:snapToGrid w:val="0"/>
        <w:spacing w:line="360" w:lineRule="auto"/>
        <w:ind w:firstLine="480" w:firstLineChars="200"/>
        <w:rPr>
          <w:color w:val="auto"/>
          <w:sz w:val="24"/>
          <w:highlight w:val="none"/>
        </w:rPr>
      </w:pPr>
      <w:r>
        <w:rPr>
          <w:rFonts w:hint="eastAsia"/>
          <w:color w:val="auto"/>
          <w:sz w:val="24"/>
          <w:highlight w:val="none"/>
        </w:rPr>
        <w:t>（1）驱动临床绩效量化考核。在院内盈亏总体平衡的基础上，以预算为导向,结合国家妇幼保健院绩效考核指标，建立以DRG/DIP运行数据为依据的临床绩效考核体系并予以落实，重点考量反映临床诊疗能力的门急诊人次、病例组合指数、权重、时间指数、费用指数、药耗指数、三四级手术（操作）等指标。绩效考核体现激励为主、处罚为辅、兼顾特殊、分科核算，不与科室收入挂钩。</w:t>
      </w:r>
    </w:p>
    <w:p>
      <w:pPr>
        <w:snapToGrid w:val="0"/>
        <w:spacing w:line="360" w:lineRule="auto"/>
        <w:ind w:firstLine="480" w:firstLineChars="200"/>
        <w:rPr>
          <w:color w:val="auto"/>
          <w:sz w:val="24"/>
          <w:highlight w:val="none"/>
        </w:rPr>
      </w:pPr>
      <w:r>
        <w:rPr>
          <w:rFonts w:hint="eastAsia"/>
          <w:color w:val="auto"/>
          <w:sz w:val="24"/>
          <w:highlight w:val="none"/>
        </w:rPr>
        <w:t>（2）医技、医辅、健康管理中心等科室医、技人员以劳动强度、时间、复杂程度、医疗风险为依据，合理设定工作量权重，根据业务结构和历史数据，制定绩效考核方案并予以落实，鼓励多劳多得、开展新业务。</w:t>
      </w:r>
    </w:p>
    <w:p>
      <w:pPr>
        <w:snapToGrid w:val="0"/>
        <w:spacing w:line="360" w:lineRule="auto"/>
        <w:ind w:firstLine="480" w:firstLineChars="200"/>
        <w:rPr>
          <w:color w:val="auto"/>
          <w:sz w:val="24"/>
          <w:highlight w:val="none"/>
        </w:rPr>
      </w:pPr>
      <w:r>
        <w:rPr>
          <w:rFonts w:hint="eastAsia"/>
          <w:color w:val="auto"/>
          <w:sz w:val="24"/>
          <w:highlight w:val="none"/>
        </w:rPr>
        <w:t>（3）辅导各科室建立二次分配方案并予以落实，以出院病人数（临床科室）、检查人次（医技、医辅科室）等工作量为主要依据，结合病人危重程度等指标进行考核。</w:t>
      </w:r>
    </w:p>
    <w:p>
      <w:pPr>
        <w:snapToGrid w:val="0"/>
        <w:spacing w:line="360" w:lineRule="auto"/>
        <w:ind w:firstLine="480" w:firstLineChars="200"/>
        <w:rPr>
          <w:color w:val="auto"/>
          <w:sz w:val="24"/>
          <w:highlight w:val="none"/>
        </w:rPr>
      </w:pPr>
      <w:r>
        <w:rPr>
          <w:rFonts w:hint="eastAsia"/>
          <w:color w:val="auto"/>
          <w:sz w:val="24"/>
          <w:highlight w:val="none"/>
        </w:rPr>
        <w:t>（4）从手术风险、技术难度或操作的复杂程度及消耗劳动时间等角度进行手术分级，以手术人次和资源消耗情况为依据制定手术绩效方案并予以落实。</w:t>
      </w:r>
    </w:p>
    <w:p>
      <w:pPr>
        <w:snapToGrid w:val="0"/>
        <w:spacing w:line="360" w:lineRule="auto"/>
        <w:ind w:firstLine="480" w:firstLineChars="200"/>
        <w:rPr>
          <w:color w:val="auto"/>
          <w:sz w:val="24"/>
          <w:highlight w:val="none"/>
        </w:rPr>
      </w:pPr>
      <w:r>
        <w:rPr>
          <w:rFonts w:hint="eastAsia"/>
          <w:color w:val="auto"/>
          <w:sz w:val="24"/>
          <w:highlight w:val="none"/>
        </w:rPr>
        <w:t>（5）强化成本控制，开展增量项目。在保证医疗质量安全的情况下着重控制药品、耗材、办公用品等资源消耗成本，优化收入结构；分析科室实际情况及市场需求，挖掘医院潜在增量点，帮助科室开展增量项目。</w:t>
      </w:r>
    </w:p>
    <w:p>
      <w:pPr>
        <w:snapToGrid w:val="0"/>
        <w:spacing w:line="360" w:lineRule="auto"/>
        <w:ind w:firstLine="480" w:firstLineChars="200"/>
        <w:rPr>
          <w:color w:val="auto"/>
          <w:sz w:val="24"/>
          <w:highlight w:val="none"/>
        </w:rPr>
      </w:pPr>
      <w:r>
        <w:rPr>
          <w:rFonts w:hint="eastAsia"/>
          <w:color w:val="auto"/>
          <w:sz w:val="24"/>
          <w:highlight w:val="none"/>
        </w:rPr>
        <w:t>2.2护理人员绩效考核方案</w:t>
      </w:r>
    </w:p>
    <w:p>
      <w:pPr>
        <w:snapToGrid w:val="0"/>
        <w:spacing w:line="360" w:lineRule="auto"/>
        <w:ind w:firstLine="480" w:firstLineChars="200"/>
        <w:rPr>
          <w:color w:val="auto"/>
          <w:sz w:val="24"/>
          <w:highlight w:val="none"/>
        </w:rPr>
      </w:pPr>
      <w:r>
        <w:rPr>
          <w:rFonts w:hint="eastAsia"/>
          <w:color w:val="auto"/>
          <w:sz w:val="24"/>
          <w:highlight w:val="none"/>
        </w:rPr>
        <w:t>以预算为导向，将床日数、出院人次作为主要考核方向，考虑护理级别、护理时数、CMI值、质量控制、服务满意度等因素制定科学合理的护理绩效考核方案，细化护理单元二次分配实施细则，并予以落实。</w:t>
      </w:r>
    </w:p>
    <w:p>
      <w:pPr>
        <w:snapToGrid w:val="0"/>
        <w:spacing w:line="360" w:lineRule="auto"/>
        <w:ind w:firstLine="480" w:firstLineChars="200"/>
        <w:rPr>
          <w:color w:val="auto"/>
          <w:sz w:val="24"/>
          <w:highlight w:val="none"/>
        </w:rPr>
      </w:pPr>
      <w:r>
        <w:rPr>
          <w:rFonts w:hint="eastAsia"/>
          <w:color w:val="auto"/>
          <w:sz w:val="24"/>
          <w:highlight w:val="none"/>
        </w:rPr>
        <w:t>2.3科主任绩效考核方案</w:t>
      </w:r>
    </w:p>
    <w:p>
      <w:pPr>
        <w:snapToGrid w:val="0"/>
        <w:spacing w:line="360" w:lineRule="auto"/>
        <w:ind w:firstLine="480" w:firstLineChars="200"/>
        <w:rPr>
          <w:color w:val="auto"/>
          <w:sz w:val="24"/>
          <w:highlight w:val="none"/>
        </w:rPr>
      </w:pPr>
      <w:r>
        <w:rPr>
          <w:rFonts w:hint="eastAsia"/>
          <w:color w:val="auto"/>
          <w:sz w:val="24"/>
          <w:highlight w:val="none"/>
        </w:rPr>
        <w:t>将医院总体目标分解形成科主任考核目标，实行月度和年度考核并行。根据科室特点和业务性质，从科室医疗质量、运营效率、学科人才队伍建设、满意度等医院绩效考核指标，制定科主任绩效考核方案并予以落实。</w:t>
      </w:r>
    </w:p>
    <w:p>
      <w:pPr>
        <w:snapToGrid w:val="0"/>
        <w:spacing w:line="360" w:lineRule="auto"/>
        <w:ind w:firstLine="480" w:firstLineChars="200"/>
        <w:rPr>
          <w:color w:val="auto"/>
          <w:sz w:val="24"/>
          <w:highlight w:val="none"/>
        </w:rPr>
      </w:pPr>
      <w:r>
        <w:rPr>
          <w:rFonts w:hint="eastAsia"/>
          <w:color w:val="auto"/>
          <w:sz w:val="24"/>
          <w:highlight w:val="none"/>
        </w:rPr>
        <w:t>2.4行政后勤人员绩效考核方案</w:t>
      </w:r>
    </w:p>
    <w:p>
      <w:pPr>
        <w:snapToGrid w:val="0"/>
        <w:spacing w:line="360" w:lineRule="auto"/>
        <w:ind w:firstLine="480" w:firstLineChars="200"/>
        <w:rPr>
          <w:color w:val="auto"/>
          <w:sz w:val="24"/>
          <w:highlight w:val="none"/>
        </w:rPr>
      </w:pPr>
      <w:r>
        <w:rPr>
          <w:rFonts w:hint="eastAsia"/>
          <w:color w:val="auto"/>
          <w:sz w:val="24"/>
          <w:highlight w:val="none"/>
        </w:rPr>
        <w:t>推进行政后勤部门及岗位层级管理，以预算为导向，根据劳动强度、工作难度及贡献度对职能部门岗位进行科学合理的评估，确定行政后勤部门系数，同时梳理各部门现有岗位，并赋予相应的岗位系数，实现按岗取酬；指导制定科室二次分配方案并予以落实。</w:t>
      </w:r>
    </w:p>
    <w:p>
      <w:pPr>
        <w:snapToGrid w:val="0"/>
        <w:spacing w:line="360" w:lineRule="auto"/>
        <w:ind w:firstLine="480" w:firstLineChars="200"/>
        <w:rPr>
          <w:color w:val="auto"/>
          <w:sz w:val="24"/>
          <w:highlight w:val="none"/>
        </w:rPr>
      </w:pPr>
      <w:r>
        <w:rPr>
          <w:rFonts w:hint="eastAsia"/>
          <w:color w:val="auto"/>
          <w:sz w:val="24"/>
          <w:highlight w:val="none"/>
        </w:rPr>
        <w:t>3.绩效管理培训内容</w:t>
      </w:r>
    </w:p>
    <w:p>
      <w:pPr>
        <w:snapToGrid w:val="0"/>
        <w:spacing w:line="360" w:lineRule="auto"/>
        <w:ind w:firstLine="480" w:firstLineChars="200"/>
        <w:rPr>
          <w:color w:val="auto"/>
          <w:sz w:val="24"/>
          <w:highlight w:val="none"/>
        </w:rPr>
      </w:pPr>
      <w:r>
        <w:rPr>
          <w:color w:val="auto"/>
          <w:sz w:val="24"/>
          <w:highlight w:val="none"/>
        </w:rPr>
        <w:t>(1)</w:t>
      </w:r>
      <w:r>
        <w:rPr>
          <w:color w:val="auto"/>
          <w:sz w:val="24"/>
          <w:highlight w:val="none"/>
        </w:rPr>
        <w:tab/>
      </w:r>
      <w:r>
        <w:rPr>
          <w:color w:val="auto"/>
          <w:sz w:val="24"/>
          <w:highlight w:val="none"/>
        </w:rPr>
        <w:t></w:t>
      </w:r>
      <w:r>
        <w:rPr>
          <w:rFonts w:hint="eastAsia"/>
          <w:color w:val="auto"/>
          <w:sz w:val="24"/>
          <w:highlight w:val="none"/>
        </w:rPr>
        <w:t>医院绩效工资改革理念培训；</w:t>
      </w:r>
    </w:p>
    <w:p>
      <w:pPr>
        <w:snapToGrid w:val="0"/>
        <w:spacing w:line="360" w:lineRule="auto"/>
        <w:ind w:firstLine="480" w:firstLineChars="200"/>
        <w:rPr>
          <w:color w:val="auto"/>
          <w:sz w:val="24"/>
          <w:highlight w:val="none"/>
        </w:rPr>
      </w:pPr>
      <w:r>
        <w:rPr>
          <w:color w:val="auto"/>
          <w:sz w:val="24"/>
          <w:highlight w:val="none"/>
        </w:rPr>
        <w:t>(2)</w:t>
      </w:r>
      <w:r>
        <w:rPr>
          <w:color w:val="auto"/>
          <w:sz w:val="24"/>
          <w:highlight w:val="none"/>
        </w:rPr>
        <w:tab/>
      </w:r>
      <w:r>
        <w:rPr>
          <w:color w:val="auto"/>
          <w:sz w:val="24"/>
          <w:highlight w:val="none"/>
        </w:rPr>
        <w:t></w:t>
      </w:r>
      <w:r>
        <w:rPr>
          <w:rFonts w:hint="eastAsia"/>
          <w:color w:val="auto"/>
          <w:sz w:val="24"/>
          <w:highlight w:val="none"/>
        </w:rPr>
        <w:t>医院新绩效工资方案专题讲解与培训；</w:t>
      </w:r>
    </w:p>
    <w:p>
      <w:pPr>
        <w:snapToGrid w:val="0"/>
        <w:spacing w:line="360" w:lineRule="auto"/>
        <w:ind w:firstLine="480" w:firstLineChars="200"/>
        <w:rPr>
          <w:color w:val="auto"/>
          <w:sz w:val="24"/>
          <w:highlight w:val="none"/>
        </w:rPr>
      </w:pPr>
      <w:r>
        <w:rPr>
          <w:color w:val="auto"/>
          <w:sz w:val="24"/>
          <w:highlight w:val="none"/>
        </w:rPr>
        <w:t>(3)</w:t>
      </w:r>
      <w:r>
        <w:rPr>
          <w:color w:val="auto"/>
          <w:sz w:val="24"/>
          <w:highlight w:val="none"/>
        </w:rPr>
        <w:tab/>
      </w:r>
      <w:r>
        <w:rPr>
          <w:color w:val="auto"/>
          <w:sz w:val="24"/>
          <w:highlight w:val="none"/>
        </w:rPr>
        <w:t></w:t>
      </w:r>
      <w:r>
        <w:rPr>
          <w:rFonts w:hint="eastAsia"/>
          <w:color w:val="auto"/>
          <w:sz w:val="24"/>
          <w:highlight w:val="none"/>
        </w:rPr>
        <w:t>二次分配辅导培训，临床科主任、医技科主任、护士长分别进行；</w:t>
      </w:r>
    </w:p>
    <w:p>
      <w:pPr>
        <w:snapToGrid w:val="0"/>
        <w:spacing w:line="360" w:lineRule="auto"/>
        <w:ind w:firstLine="480" w:firstLineChars="200"/>
        <w:rPr>
          <w:color w:val="auto"/>
          <w:sz w:val="24"/>
          <w:highlight w:val="none"/>
        </w:rPr>
      </w:pPr>
      <w:r>
        <w:rPr>
          <w:color w:val="auto"/>
          <w:sz w:val="24"/>
          <w:highlight w:val="none"/>
        </w:rPr>
        <w:t>(4)</w:t>
      </w:r>
      <w:r>
        <w:rPr>
          <w:color w:val="auto"/>
          <w:sz w:val="24"/>
          <w:highlight w:val="none"/>
        </w:rPr>
        <w:tab/>
      </w:r>
      <w:r>
        <w:rPr>
          <w:color w:val="auto"/>
          <w:sz w:val="24"/>
          <w:highlight w:val="none"/>
        </w:rPr>
        <w:t></w:t>
      </w:r>
      <w:r>
        <w:rPr>
          <w:rFonts w:hint="eastAsia"/>
          <w:color w:val="auto"/>
          <w:sz w:val="24"/>
          <w:highlight w:val="none"/>
        </w:rPr>
        <w:t>绩效考核辅导培训（职能科室负责人）；</w:t>
      </w:r>
    </w:p>
    <w:p>
      <w:pPr>
        <w:snapToGrid w:val="0"/>
        <w:spacing w:line="360" w:lineRule="auto"/>
        <w:ind w:firstLine="480" w:firstLineChars="200"/>
        <w:rPr>
          <w:color w:val="auto"/>
          <w:sz w:val="24"/>
          <w:highlight w:val="none"/>
        </w:rPr>
      </w:pPr>
      <w:r>
        <w:rPr>
          <w:rFonts w:hint="eastAsia"/>
          <w:color w:val="auto"/>
          <w:sz w:val="24"/>
          <w:highlight w:val="none"/>
        </w:rPr>
        <w:t>(5)</w:t>
      </w:r>
      <w:r>
        <w:rPr>
          <w:rFonts w:hint="eastAsia"/>
          <w:color w:val="auto"/>
          <w:sz w:val="24"/>
          <w:highlight w:val="none"/>
        </w:rPr>
        <w:tab/>
      </w:r>
      <w:r>
        <w:rPr>
          <w:rFonts w:hint="eastAsia"/>
          <w:color w:val="auto"/>
          <w:sz w:val="24"/>
          <w:highlight w:val="none"/>
        </w:rPr>
        <w:t xml:space="preserve">  小范围辅导及沟通。</w:t>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五、</w:t>
      </w:r>
      <w:r>
        <w:rPr>
          <w:rFonts w:ascii="宋体" w:hAnsi="宋体"/>
          <w:b/>
          <w:bCs/>
          <w:color w:val="auto"/>
          <w:sz w:val="24"/>
          <w:szCs w:val="24"/>
          <w:highlight w:val="none"/>
        </w:rPr>
        <w:t>知识产权</w:t>
      </w:r>
    </w:p>
    <w:p>
      <w:pPr>
        <w:snapToGrid w:val="0"/>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甲方利用乙方提交的技术服务工作成果所完成的新的</w:t>
      </w:r>
      <w:r>
        <w:rPr>
          <w:rFonts w:hint="eastAsia"/>
          <w:color w:val="auto"/>
          <w:sz w:val="24"/>
          <w:highlight w:val="none"/>
        </w:rPr>
        <w:t>项目</w:t>
      </w:r>
      <w:r>
        <w:rPr>
          <w:color w:val="auto"/>
          <w:sz w:val="24"/>
          <w:highlight w:val="none"/>
        </w:rPr>
        <w:t>成果和知识产权，归甲方所有。</w:t>
      </w:r>
    </w:p>
    <w:p>
      <w:pPr>
        <w:snapToGrid w:val="0"/>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乙方为本项目完成的所有</w:t>
      </w:r>
      <w:r>
        <w:rPr>
          <w:rFonts w:hint="eastAsia"/>
          <w:color w:val="auto"/>
          <w:sz w:val="24"/>
          <w:highlight w:val="none"/>
        </w:rPr>
        <w:t>项目</w:t>
      </w:r>
      <w:r>
        <w:rPr>
          <w:color w:val="auto"/>
          <w:sz w:val="24"/>
          <w:highlight w:val="none"/>
        </w:rPr>
        <w:t>成果和知识产权，包括利用甲方提交的技术资料和工作条件所完成的新的</w:t>
      </w:r>
      <w:r>
        <w:rPr>
          <w:rFonts w:hint="eastAsia"/>
          <w:color w:val="auto"/>
          <w:sz w:val="24"/>
          <w:highlight w:val="none"/>
        </w:rPr>
        <w:t>项目</w:t>
      </w:r>
      <w:r>
        <w:rPr>
          <w:color w:val="auto"/>
          <w:sz w:val="24"/>
          <w:highlight w:val="none"/>
        </w:rPr>
        <w:t>成果和知识产权，均归甲方所有。</w:t>
      </w:r>
    </w:p>
    <w:p>
      <w:pPr>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乙方不得擅自使用或许可第三方使用、转让甲方所有的</w:t>
      </w:r>
      <w:r>
        <w:rPr>
          <w:rFonts w:hint="eastAsia"/>
          <w:color w:val="auto"/>
          <w:sz w:val="24"/>
          <w:highlight w:val="none"/>
        </w:rPr>
        <w:t>项目</w:t>
      </w:r>
      <w:r>
        <w:rPr>
          <w:color w:val="auto"/>
          <w:sz w:val="24"/>
          <w:highlight w:val="none"/>
        </w:rPr>
        <w:t>成果和知识产权。</w:t>
      </w:r>
    </w:p>
    <w:p>
      <w:pPr>
        <w:snapToGrid w:val="0"/>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 xml:space="preserve">乙方应保证甲方在使用该软件系统或该软件系统的任何一部分时免受第三方提出的侵犯其知识产权的纠纷，否则乙方应负责与之交涉并承担由此引起的一切法律责任及经济损失。 </w:t>
      </w:r>
    </w:p>
    <w:p>
      <w:pPr>
        <w:snapToGrid w:val="0"/>
        <w:spacing w:line="360" w:lineRule="auto"/>
        <w:ind w:firstLine="480" w:firstLineChars="200"/>
        <w:rPr>
          <w:color w:val="auto"/>
          <w:sz w:val="24"/>
          <w:highlight w:val="none"/>
        </w:rPr>
      </w:pPr>
    </w:p>
    <w:p>
      <w:pPr>
        <w:snapToGrid w:val="0"/>
        <w:spacing w:line="360" w:lineRule="auto"/>
        <w:ind w:firstLine="480" w:firstLineChars="200"/>
        <w:rPr>
          <w:color w:val="auto"/>
          <w:highlight w:val="none"/>
        </w:rPr>
      </w:pPr>
      <w:r>
        <w:rPr>
          <w:rFonts w:hint="eastAsia"/>
          <w:color w:val="auto"/>
          <w:sz w:val="24"/>
          <w:highlight w:val="none"/>
        </w:rPr>
        <w:t xml:space="preserve"> 六</w:t>
      </w:r>
      <w:r>
        <w:rPr>
          <w:color w:val="auto"/>
          <w:sz w:val="24"/>
          <w:highlight w:val="none"/>
        </w:rPr>
        <w:t>、</w:t>
      </w:r>
      <w:r>
        <w:rPr>
          <w:rFonts w:ascii="宋体" w:hAnsi="宋体"/>
          <w:b/>
          <w:bCs/>
          <w:color w:val="auto"/>
          <w:sz w:val="24"/>
          <w:szCs w:val="24"/>
          <w:highlight w:val="none"/>
        </w:rPr>
        <w:t>安装调试和验收</w:t>
      </w:r>
    </w:p>
    <w:p>
      <w:pPr>
        <w:snapToGrid w:val="0"/>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乙方在合同签署后开始数据分析、详细需求调研、数据准备与试运行，并逐步投入正式运行。</w:t>
      </w:r>
      <w:r>
        <w:rPr>
          <w:rFonts w:hint="eastAsia"/>
          <w:color w:val="auto"/>
          <w:sz w:val="24"/>
          <w:highlight w:val="none"/>
        </w:rPr>
        <w:t>成交供应商保证进行医院大数据分析展示及数据分析服务的过程中及形成的工作成果符合国家及行业的安全要求，不对采购人的原有服务器及数据等造成任何安全隐患。</w:t>
      </w:r>
    </w:p>
    <w:p>
      <w:pPr>
        <w:snapToGrid w:val="0"/>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乙方进行操作人员培训与技术人员培训，提供操作手册与相关技术文档。</w:t>
      </w:r>
    </w:p>
    <w:p>
      <w:pPr>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乙方和甲方共同组成验收小组，按照甲方规定的验收标准、程序和文档要求进行验收，</w:t>
      </w:r>
      <w:r>
        <w:rPr>
          <w:rFonts w:hint="eastAsia"/>
          <w:color w:val="auto"/>
          <w:sz w:val="24"/>
          <w:highlight w:val="none"/>
        </w:rPr>
        <w:t>验收小组</w:t>
      </w:r>
      <w:r>
        <w:rPr>
          <w:color w:val="auto"/>
          <w:sz w:val="24"/>
          <w:highlight w:val="none"/>
        </w:rPr>
        <w:t>所有人员签字的验收报告作为付款依据。</w:t>
      </w:r>
    </w:p>
    <w:p>
      <w:pPr>
        <w:snapToGrid w:val="0"/>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验收报告不能免除乙方对由于产品问题而产生的质量问题应承担的责任。</w:t>
      </w:r>
    </w:p>
    <w:p>
      <w:pPr>
        <w:snapToGrid w:val="0"/>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项目验收标准</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文件中的采购需求及合同约定将作为本项目最终验收的标准。</w:t>
      </w:r>
    </w:p>
    <w:p>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（1）分段验收：项目每阶段由甲方领导班子以评审通过并签字认可的方式确认乙方提交的各项方案，并及时提出书面的反馈意见，乙方根据意见修订方案最终通过阶段验收；</w:t>
      </w:r>
    </w:p>
    <w:p>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（2）总体验收：医院班子会议和职工代表大会报告表决验收，最终通过项目总体验收。</w:t>
      </w:r>
    </w:p>
    <w:p>
      <w:pPr>
        <w:spacing w:line="360" w:lineRule="auto"/>
        <w:rPr>
          <w:color w:val="auto"/>
          <w:highlight w:val="none"/>
        </w:rPr>
      </w:pPr>
    </w:p>
    <w:p>
      <w:pPr>
        <w:spacing w:line="360" w:lineRule="auto"/>
        <w:rPr>
          <w:color w:val="auto"/>
          <w:highlight w:val="none"/>
        </w:rPr>
      </w:pPr>
      <w:r>
        <w:rPr>
          <w:rFonts w:hint="eastAsia"/>
          <w:b/>
          <w:bCs/>
          <w:color w:val="auto"/>
          <w:sz w:val="24"/>
          <w:szCs w:val="24"/>
          <w:highlight w:val="none"/>
        </w:rPr>
        <w:t>七、</w:t>
      </w:r>
      <w:r>
        <w:rPr>
          <w:rFonts w:ascii="宋体" w:hAnsi="宋体"/>
          <w:b/>
          <w:bCs/>
          <w:color w:val="auto"/>
          <w:sz w:val="24"/>
          <w:szCs w:val="24"/>
          <w:highlight w:val="none"/>
        </w:rPr>
        <w:t>售后服务</w:t>
      </w:r>
    </w:p>
    <w:p>
      <w:pPr>
        <w:snapToGrid w:val="0"/>
        <w:spacing w:line="360" w:lineRule="auto"/>
        <w:ind w:firstLine="480" w:firstLineChars="200"/>
        <w:rPr>
          <w:color w:val="auto"/>
          <w:sz w:val="24"/>
          <w:highlight w:val="none"/>
        </w:rPr>
      </w:pPr>
      <w:r>
        <w:rPr>
          <w:rFonts w:hint="eastAsia"/>
          <w:color w:val="auto"/>
          <w:sz w:val="24"/>
          <w:highlight w:val="none"/>
        </w:rPr>
        <w:t>（1）提供一年的售后服务期，售后服务期自完成验收之日起计算；</w:t>
      </w:r>
    </w:p>
    <w:p>
      <w:pPr>
        <w:snapToGrid w:val="0"/>
        <w:spacing w:line="360" w:lineRule="auto"/>
        <w:ind w:firstLine="480" w:firstLineChars="200"/>
        <w:rPr>
          <w:color w:val="auto"/>
          <w:sz w:val="24"/>
          <w:highlight w:val="none"/>
        </w:rPr>
      </w:pPr>
      <w:r>
        <w:rPr>
          <w:rFonts w:hint="eastAsia"/>
          <w:color w:val="auto"/>
          <w:sz w:val="24"/>
          <w:highlight w:val="none"/>
        </w:rPr>
        <w:t>（2）售后服务期内提供免费的电话或远程咨询服务；</w:t>
      </w:r>
    </w:p>
    <w:p>
      <w:pPr>
        <w:spacing w:line="360" w:lineRule="auto"/>
        <w:ind w:firstLine="480"/>
        <w:rPr>
          <w:color w:val="auto"/>
          <w:highlight w:val="none"/>
        </w:rPr>
      </w:pPr>
      <w:r>
        <w:rPr>
          <w:rFonts w:hint="eastAsia"/>
          <w:color w:val="auto"/>
          <w:sz w:val="24"/>
          <w:highlight w:val="none"/>
        </w:rPr>
        <w:t>（3）售后服务期结束后每年对医院进行一次项目远程回访（远程回访产生的费用由乙方负责），跟踪了解方案运行情况。</w:t>
      </w:r>
    </w:p>
    <w:p>
      <w:pPr>
        <w:spacing w:line="360" w:lineRule="auto"/>
        <w:rPr>
          <w:color w:val="auto"/>
          <w:highlight w:val="none"/>
        </w:rPr>
      </w:pPr>
      <w:r>
        <w:rPr>
          <w:rFonts w:hint="eastAsia"/>
          <w:color w:val="auto"/>
          <w:highlight w:val="none"/>
        </w:rPr>
        <w:t>八</w:t>
      </w:r>
      <w:r>
        <w:rPr>
          <w:color w:val="auto"/>
          <w:highlight w:val="none"/>
        </w:rPr>
        <w:t>、</w:t>
      </w:r>
      <w:r>
        <w:rPr>
          <w:rFonts w:ascii="宋体" w:hAnsi="宋体"/>
          <w:b/>
          <w:bCs/>
          <w:color w:val="auto"/>
          <w:sz w:val="24"/>
          <w:szCs w:val="24"/>
          <w:highlight w:val="none"/>
        </w:rPr>
        <w:t>保证及相应的违约责任</w:t>
      </w:r>
    </w:p>
    <w:p>
      <w:pPr>
        <w:spacing w:line="360" w:lineRule="auto"/>
        <w:ind w:firstLine="240" w:firstLineChars="100"/>
        <w:rPr>
          <w:color w:val="auto"/>
          <w:highlight w:val="none"/>
        </w:rPr>
      </w:pPr>
      <w:r>
        <w:rPr>
          <w:color w:val="auto"/>
          <w:sz w:val="24"/>
          <w:szCs w:val="24"/>
          <w:highlight w:val="none"/>
        </w:rPr>
        <w:t>1</w:t>
      </w:r>
      <w:r>
        <w:rPr>
          <w:rFonts w:hint="eastAsia"/>
          <w:color w:val="auto"/>
          <w:sz w:val="24"/>
          <w:szCs w:val="24"/>
          <w:highlight w:val="none"/>
        </w:rPr>
        <w:t>、</w:t>
      </w:r>
      <w:r>
        <w:rPr>
          <w:rFonts w:ascii="宋体" w:hAnsi="宋体"/>
          <w:color w:val="auto"/>
          <w:sz w:val="24"/>
          <w:szCs w:val="24"/>
          <w:highlight w:val="none"/>
        </w:rPr>
        <w:t>人员保证</w:t>
      </w:r>
    </w:p>
    <w:p>
      <w:pPr>
        <w:spacing w:line="360" w:lineRule="auto"/>
        <w:ind w:firstLine="480"/>
        <w:rPr>
          <w:rFonts w:ascii="宋体" w:hAnsi="宋体"/>
          <w:color w:val="auto"/>
          <w:sz w:val="24"/>
          <w:szCs w:val="24"/>
          <w:highlight w:val="none"/>
        </w:rPr>
      </w:pPr>
      <w:r>
        <w:rPr>
          <w:rFonts w:hint="eastAsia"/>
          <w:color w:val="auto"/>
          <w:sz w:val="24"/>
          <w:szCs w:val="24"/>
          <w:highlight w:val="none"/>
        </w:rPr>
        <w:t>（1）</w:t>
      </w:r>
      <w:r>
        <w:rPr>
          <w:rFonts w:ascii="宋体" w:hAnsi="宋体"/>
          <w:color w:val="auto"/>
          <w:sz w:val="24"/>
          <w:szCs w:val="24"/>
          <w:highlight w:val="none"/>
        </w:rPr>
        <w:t>乙方按投标时所承诺的本项目负责人及主要技术人员，为本项目特别组织满足项目各阶段要求的工作组。其中本项目负责人为</w:t>
      </w:r>
      <w:r>
        <w:rPr>
          <w:color w:val="auto"/>
          <w:sz w:val="24"/>
          <w:szCs w:val="24"/>
          <w:highlight w:val="none"/>
        </w:rPr>
        <w:t>________________(</w:t>
      </w:r>
      <w:r>
        <w:rPr>
          <w:rFonts w:ascii="宋体" w:hAnsi="宋体"/>
          <w:color w:val="auto"/>
          <w:sz w:val="24"/>
          <w:szCs w:val="24"/>
          <w:highlight w:val="none"/>
        </w:rPr>
        <w:t>身份证号：</w:t>
      </w:r>
      <w:r>
        <w:rPr>
          <w:color w:val="auto"/>
          <w:sz w:val="24"/>
          <w:szCs w:val="24"/>
          <w:highlight w:val="none"/>
        </w:rPr>
        <w:t>_______________________________)</w:t>
      </w:r>
      <w:r>
        <w:rPr>
          <w:rFonts w:hint="eastAsia"/>
          <w:color w:val="auto"/>
          <w:sz w:val="24"/>
          <w:szCs w:val="24"/>
          <w:highlight w:val="none"/>
        </w:rPr>
        <w:t>，</w:t>
      </w:r>
      <w:r>
        <w:rPr>
          <w:rFonts w:ascii="宋体" w:hAnsi="宋体"/>
          <w:color w:val="auto"/>
          <w:sz w:val="24"/>
          <w:szCs w:val="24"/>
          <w:highlight w:val="none"/>
        </w:rPr>
        <w:t>乙方保证按照项目的人员计划配置相应实施人员，并维持整个项目组的稳定。在实施过程中，除不可抗拒力外，任何人员变动须事先征得甲方同意。乙方更换工作组成员时，应至少提前</w:t>
      </w:r>
      <w:r>
        <w:rPr>
          <w:color w:val="auto"/>
          <w:sz w:val="24"/>
          <w:szCs w:val="24"/>
          <w:highlight w:val="none"/>
        </w:rPr>
        <w:t>5</w:t>
      </w:r>
      <w:r>
        <w:rPr>
          <w:rFonts w:ascii="宋体" w:hAnsi="宋体"/>
          <w:color w:val="auto"/>
          <w:sz w:val="24"/>
          <w:szCs w:val="24"/>
          <w:highlight w:val="none"/>
        </w:rPr>
        <w:t>个工作日以书面形式通知甲方，甲方应在收到通知后</w:t>
      </w:r>
      <w:r>
        <w:rPr>
          <w:color w:val="auto"/>
          <w:sz w:val="24"/>
          <w:szCs w:val="24"/>
          <w:highlight w:val="none"/>
        </w:rPr>
        <w:t>5</w:t>
      </w:r>
      <w:r>
        <w:rPr>
          <w:rFonts w:ascii="宋体" w:hAnsi="宋体"/>
          <w:color w:val="auto"/>
          <w:sz w:val="24"/>
          <w:szCs w:val="24"/>
          <w:highlight w:val="none"/>
        </w:rPr>
        <w:t>个工作日内予以答复，如不答复的视为同意。如甲方要求更换不称职的项目人员时，乙方保证全力在甲方指定的时间内更换同等或更高资历的人员。</w:t>
      </w:r>
    </w:p>
    <w:p>
      <w:pPr>
        <w:spacing w:line="360" w:lineRule="auto"/>
        <w:ind w:firstLine="480"/>
        <w:rPr>
          <w:color w:val="auto"/>
          <w:highlight w:val="none"/>
        </w:rPr>
      </w:pPr>
      <w:r>
        <w:rPr>
          <w:rFonts w:hint="eastAsia"/>
          <w:color w:val="auto"/>
          <w:sz w:val="24"/>
          <w:szCs w:val="24"/>
          <w:highlight w:val="none"/>
        </w:rPr>
        <w:t>（2）</w:t>
      </w:r>
      <w:r>
        <w:rPr>
          <w:rFonts w:ascii="宋体" w:hAnsi="宋体"/>
          <w:color w:val="auto"/>
          <w:sz w:val="24"/>
          <w:szCs w:val="24"/>
          <w:highlight w:val="none"/>
        </w:rPr>
        <w:t>如未经甲方同意乙方擅自更换人员时，按违约处理，此情况发生时将在最近一期合同支付款中扣除</w:t>
      </w:r>
      <w:r>
        <w:rPr>
          <w:color w:val="auto"/>
          <w:sz w:val="24"/>
          <w:szCs w:val="24"/>
          <w:highlight w:val="none"/>
        </w:rPr>
        <w:t>500</w:t>
      </w:r>
      <w:r>
        <w:rPr>
          <w:rFonts w:ascii="宋体" w:hAnsi="宋体"/>
          <w:color w:val="auto"/>
          <w:sz w:val="24"/>
          <w:szCs w:val="24"/>
          <w:highlight w:val="none"/>
        </w:rPr>
        <w:t>元</w:t>
      </w:r>
      <w:r>
        <w:rPr>
          <w:color w:val="auto"/>
          <w:sz w:val="24"/>
          <w:szCs w:val="24"/>
          <w:highlight w:val="none"/>
        </w:rPr>
        <w:t>/</w:t>
      </w:r>
      <w:r>
        <w:rPr>
          <w:rFonts w:hint="eastAsia" w:ascii="宋体" w:hAnsi="宋体"/>
          <w:color w:val="auto"/>
          <w:sz w:val="24"/>
          <w:szCs w:val="24"/>
          <w:highlight w:val="none"/>
        </w:rPr>
        <w:t>人</w:t>
      </w:r>
      <w:r>
        <w:rPr>
          <w:rFonts w:ascii="宋体" w:hAnsi="宋体"/>
          <w:color w:val="auto"/>
          <w:sz w:val="24"/>
          <w:szCs w:val="24"/>
          <w:highlight w:val="none"/>
        </w:rPr>
        <w:t>违约金。如乙方未能按照双方共同认可的人员工作计划安排人员到位，按每</w:t>
      </w:r>
      <w:r>
        <w:rPr>
          <w:rFonts w:hint="eastAsia" w:ascii="宋体" w:hAnsi="宋体"/>
          <w:color w:val="auto"/>
          <w:sz w:val="24"/>
          <w:szCs w:val="24"/>
          <w:highlight w:val="none"/>
        </w:rPr>
        <w:t>人</w:t>
      </w:r>
      <w:r>
        <w:rPr>
          <w:rFonts w:ascii="宋体" w:hAnsi="宋体"/>
          <w:color w:val="auto"/>
          <w:sz w:val="24"/>
          <w:szCs w:val="24"/>
          <w:highlight w:val="none"/>
        </w:rPr>
        <w:t>计乙方违约金</w:t>
      </w:r>
      <w:r>
        <w:rPr>
          <w:color w:val="auto"/>
          <w:sz w:val="24"/>
          <w:szCs w:val="24"/>
          <w:highlight w:val="none"/>
        </w:rPr>
        <w:t>500</w:t>
      </w:r>
      <w:r>
        <w:rPr>
          <w:rFonts w:ascii="宋体" w:hAnsi="宋体"/>
          <w:color w:val="auto"/>
          <w:sz w:val="24"/>
          <w:szCs w:val="24"/>
          <w:highlight w:val="none"/>
        </w:rPr>
        <w:t>元，同时乙方保证限期</w:t>
      </w:r>
      <w:r>
        <w:rPr>
          <w:color w:val="auto"/>
          <w:sz w:val="24"/>
          <w:szCs w:val="24"/>
          <w:highlight w:val="none"/>
        </w:rPr>
        <w:t>3</w:t>
      </w:r>
      <w:r>
        <w:rPr>
          <w:rFonts w:ascii="宋体" w:hAnsi="宋体"/>
          <w:color w:val="auto"/>
          <w:sz w:val="24"/>
          <w:szCs w:val="24"/>
          <w:highlight w:val="none"/>
        </w:rPr>
        <w:t>个工作日内整改完成。</w:t>
      </w:r>
    </w:p>
    <w:p>
      <w:pPr>
        <w:spacing w:line="360" w:lineRule="auto"/>
        <w:ind w:firstLine="480" w:firstLineChars="200"/>
        <w:rPr>
          <w:color w:val="auto"/>
          <w:highlight w:val="none"/>
        </w:rPr>
      </w:pPr>
      <w:r>
        <w:rPr>
          <w:color w:val="auto"/>
          <w:sz w:val="24"/>
          <w:szCs w:val="24"/>
          <w:highlight w:val="none"/>
        </w:rPr>
        <w:t>2</w:t>
      </w:r>
      <w:r>
        <w:rPr>
          <w:rFonts w:hint="eastAsia"/>
          <w:color w:val="auto"/>
          <w:sz w:val="24"/>
          <w:szCs w:val="24"/>
          <w:highlight w:val="none"/>
        </w:rPr>
        <w:t>、</w:t>
      </w:r>
      <w:r>
        <w:rPr>
          <w:rFonts w:ascii="宋体" w:hAnsi="宋体"/>
          <w:color w:val="auto"/>
          <w:sz w:val="24"/>
          <w:szCs w:val="24"/>
          <w:highlight w:val="none"/>
        </w:rPr>
        <w:t>工期保证</w:t>
      </w:r>
    </w:p>
    <w:p>
      <w:pPr>
        <w:spacing w:line="360" w:lineRule="auto"/>
        <w:ind w:firstLine="480"/>
        <w:rPr>
          <w:color w:val="auto"/>
          <w:highlight w:val="none"/>
        </w:rPr>
      </w:pPr>
      <w:r>
        <w:rPr>
          <w:rFonts w:hint="eastAsia"/>
          <w:color w:val="auto"/>
          <w:sz w:val="24"/>
          <w:szCs w:val="24"/>
          <w:highlight w:val="none"/>
        </w:rPr>
        <w:t>（1）</w:t>
      </w:r>
      <w:r>
        <w:rPr>
          <w:rFonts w:ascii="宋体" w:hAnsi="宋体"/>
          <w:color w:val="auto"/>
          <w:sz w:val="24"/>
          <w:szCs w:val="24"/>
          <w:highlight w:val="none"/>
        </w:rPr>
        <w:t>乙方保证按本合同规定的总工期以及各阶段工期目标完成系统的实施并竣工验收，各阶段具体实施计划需要双方共同进行商定后执行。</w:t>
      </w:r>
    </w:p>
    <w:p>
      <w:pPr>
        <w:spacing w:line="360" w:lineRule="auto"/>
        <w:ind w:firstLine="480"/>
        <w:rPr>
          <w:color w:val="auto"/>
          <w:highlight w:val="none"/>
        </w:rPr>
      </w:pPr>
      <w:r>
        <w:rPr>
          <w:rFonts w:hint="eastAsia"/>
          <w:color w:val="auto"/>
          <w:sz w:val="24"/>
          <w:szCs w:val="24"/>
          <w:highlight w:val="none"/>
        </w:rPr>
        <w:t>（2）</w:t>
      </w:r>
      <w:r>
        <w:rPr>
          <w:rFonts w:ascii="宋体" w:hAnsi="宋体"/>
          <w:color w:val="auto"/>
          <w:sz w:val="24"/>
          <w:szCs w:val="24"/>
          <w:highlight w:val="none"/>
        </w:rPr>
        <w:t>如因乙方原因导致总工期拖延竣工，按总工期拖延天数计违约金，每延期</w:t>
      </w:r>
      <w:r>
        <w:rPr>
          <w:color w:val="auto"/>
          <w:sz w:val="24"/>
          <w:szCs w:val="24"/>
          <w:highlight w:val="none"/>
        </w:rPr>
        <w:t>1</w:t>
      </w:r>
      <w:r>
        <w:rPr>
          <w:rFonts w:ascii="宋体" w:hAnsi="宋体"/>
          <w:color w:val="auto"/>
          <w:sz w:val="24"/>
          <w:szCs w:val="24"/>
          <w:highlight w:val="none"/>
        </w:rPr>
        <w:t>天按合同总价的</w:t>
      </w:r>
      <w:r>
        <w:rPr>
          <w:color w:val="auto"/>
          <w:sz w:val="24"/>
          <w:szCs w:val="24"/>
          <w:highlight w:val="none"/>
        </w:rPr>
        <w:t>5‰</w:t>
      </w:r>
      <w:r>
        <w:rPr>
          <w:rFonts w:ascii="宋体" w:hAnsi="宋体"/>
          <w:color w:val="auto"/>
          <w:sz w:val="24"/>
          <w:szCs w:val="24"/>
          <w:highlight w:val="none"/>
        </w:rPr>
        <w:t>计乙方违约金。</w:t>
      </w:r>
    </w:p>
    <w:p>
      <w:pPr>
        <w:spacing w:line="360" w:lineRule="auto"/>
        <w:ind w:firstLine="480"/>
        <w:rPr>
          <w:color w:val="auto"/>
          <w:highlight w:val="none"/>
        </w:rPr>
      </w:pPr>
      <w:r>
        <w:rPr>
          <w:rFonts w:hint="eastAsia"/>
          <w:color w:val="auto"/>
          <w:sz w:val="24"/>
          <w:szCs w:val="24"/>
          <w:highlight w:val="none"/>
        </w:rPr>
        <w:t>（3）</w:t>
      </w:r>
      <w:r>
        <w:rPr>
          <w:rFonts w:ascii="宋体" w:hAnsi="宋体"/>
          <w:color w:val="auto"/>
          <w:sz w:val="24"/>
          <w:szCs w:val="24"/>
          <w:highlight w:val="none"/>
        </w:rPr>
        <w:t>乙方工期违约金累计的最高限额为合同总价的</w:t>
      </w:r>
      <w:r>
        <w:rPr>
          <w:color w:val="auto"/>
          <w:sz w:val="24"/>
          <w:szCs w:val="24"/>
          <w:highlight w:val="none"/>
        </w:rPr>
        <w:t>10%</w:t>
      </w:r>
      <w:r>
        <w:rPr>
          <w:rFonts w:ascii="宋体" w:hAnsi="宋体"/>
          <w:color w:val="auto"/>
          <w:sz w:val="24"/>
          <w:szCs w:val="24"/>
          <w:highlight w:val="none"/>
        </w:rPr>
        <w:t>，延期达</w:t>
      </w:r>
      <w:r>
        <w:rPr>
          <w:rFonts w:hint="eastAsia" w:ascii="宋体" w:hAnsi="宋体"/>
          <w:color w:val="auto"/>
          <w:sz w:val="24"/>
          <w:szCs w:val="24"/>
          <w:highlight w:val="none"/>
        </w:rPr>
        <w:t>20天或以上</w:t>
      </w:r>
      <w:r>
        <w:rPr>
          <w:rFonts w:ascii="宋体" w:hAnsi="宋体"/>
          <w:color w:val="auto"/>
          <w:sz w:val="24"/>
          <w:szCs w:val="24"/>
          <w:highlight w:val="none"/>
        </w:rPr>
        <w:t>时，甲方有权终止合同，乙方除支付违约金外，同时还须赔偿甲方因此造成的直接经济损失。</w:t>
      </w:r>
    </w:p>
    <w:p>
      <w:pPr>
        <w:spacing w:line="360" w:lineRule="auto"/>
        <w:ind w:firstLine="480" w:firstLineChars="200"/>
        <w:rPr>
          <w:color w:val="auto"/>
          <w:highlight w:val="none"/>
        </w:rPr>
      </w:pPr>
      <w:r>
        <w:rPr>
          <w:color w:val="auto"/>
          <w:sz w:val="24"/>
          <w:szCs w:val="24"/>
          <w:highlight w:val="none"/>
        </w:rPr>
        <w:t>3</w:t>
      </w:r>
      <w:r>
        <w:rPr>
          <w:rFonts w:hint="eastAsia"/>
          <w:color w:val="auto"/>
          <w:sz w:val="24"/>
          <w:szCs w:val="24"/>
          <w:highlight w:val="none"/>
        </w:rPr>
        <w:t>、</w:t>
      </w:r>
      <w:r>
        <w:rPr>
          <w:rFonts w:ascii="宋体" w:hAnsi="宋体"/>
          <w:color w:val="auto"/>
          <w:sz w:val="24"/>
          <w:szCs w:val="24"/>
          <w:highlight w:val="none"/>
        </w:rPr>
        <w:t>质量保证</w:t>
      </w:r>
    </w:p>
    <w:p>
      <w:pPr>
        <w:spacing w:line="360" w:lineRule="auto"/>
        <w:ind w:firstLine="480"/>
        <w:rPr>
          <w:color w:val="auto"/>
          <w:highlight w:val="none"/>
        </w:rPr>
      </w:pPr>
      <w:r>
        <w:rPr>
          <w:rFonts w:hint="eastAsia"/>
          <w:color w:val="auto"/>
          <w:sz w:val="24"/>
          <w:szCs w:val="24"/>
          <w:highlight w:val="none"/>
        </w:rPr>
        <w:t>（1）</w:t>
      </w:r>
      <w:r>
        <w:rPr>
          <w:rFonts w:ascii="宋体" w:hAnsi="宋体"/>
          <w:color w:val="auto"/>
          <w:sz w:val="24"/>
          <w:szCs w:val="24"/>
          <w:highlight w:val="none"/>
        </w:rPr>
        <w:t>乙方保证对报告编写、方案制定、人员培训的质量等进行控制，以使项目能按时通过验收。若乙方质量未能达到约定</w:t>
      </w:r>
      <w:r>
        <w:rPr>
          <w:rFonts w:hint="eastAsia" w:ascii="宋体" w:hAnsi="宋体"/>
          <w:color w:val="auto"/>
          <w:sz w:val="24"/>
          <w:szCs w:val="24"/>
          <w:highlight w:val="none"/>
        </w:rPr>
        <w:t>或甲方要求的</w:t>
      </w:r>
      <w:r>
        <w:rPr>
          <w:rFonts w:ascii="宋体" w:hAnsi="宋体"/>
          <w:color w:val="auto"/>
          <w:sz w:val="24"/>
          <w:szCs w:val="24"/>
          <w:highlight w:val="none"/>
        </w:rPr>
        <w:t>，乙方应在甲方规定的期限内</w:t>
      </w:r>
      <w:r>
        <w:rPr>
          <w:rFonts w:hint="eastAsia" w:ascii="宋体" w:hAnsi="宋体"/>
          <w:color w:val="auto"/>
          <w:sz w:val="24"/>
          <w:szCs w:val="24"/>
          <w:highlight w:val="none"/>
        </w:rPr>
        <w:t>整改</w:t>
      </w:r>
      <w:r>
        <w:rPr>
          <w:rFonts w:ascii="宋体" w:hAnsi="宋体"/>
          <w:color w:val="auto"/>
          <w:sz w:val="24"/>
          <w:szCs w:val="24"/>
          <w:highlight w:val="none"/>
        </w:rPr>
        <w:t>，直到符合约定标准为止。</w:t>
      </w:r>
    </w:p>
    <w:p>
      <w:pPr>
        <w:spacing w:line="360" w:lineRule="auto"/>
        <w:ind w:firstLine="480"/>
        <w:rPr>
          <w:rFonts w:ascii="宋体" w:hAnsi="宋体"/>
          <w:color w:val="auto"/>
          <w:sz w:val="24"/>
          <w:szCs w:val="24"/>
          <w:highlight w:val="none"/>
        </w:rPr>
      </w:pPr>
      <w:r>
        <w:rPr>
          <w:rFonts w:hint="eastAsia"/>
          <w:color w:val="auto"/>
          <w:sz w:val="24"/>
          <w:szCs w:val="24"/>
          <w:highlight w:val="none"/>
        </w:rPr>
        <w:t>（2）</w:t>
      </w:r>
      <w:r>
        <w:rPr>
          <w:rFonts w:ascii="宋体" w:hAnsi="宋体"/>
          <w:color w:val="auto"/>
          <w:sz w:val="24"/>
          <w:szCs w:val="24"/>
          <w:highlight w:val="none"/>
        </w:rPr>
        <w:t>乙方保证</w:t>
      </w:r>
      <w:r>
        <w:rPr>
          <w:rFonts w:hint="eastAsia" w:ascii="宋体" w:hAnsi="宋体"/>
          <w:color w:val="auto"/>
          <w:sz w:val="24"/>
          <w:szCs w:val="24"/>
          <w:highlight w:val="none"/>
        </w:rPr>
        <w:t>工作</w:t>
      </w:r>
      <w:r>
        <w:rPr>
          <w:rFonts w:ascii="宋体" w:hAnsi="宋体"/>
          <w:color w:val="auto"/>
          <w:sz w:val="24"/>
          <w:szCs w:val="24"/>
          <w:highlight w:val="none"/>
        </w:rPr>
        <w:t>成果完全符合合同规定的技术、质量、性能的要求并及时、尽责进行售后服务，。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4、安全保证</w:t>
      </w: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保证进行医院大数据分析展示及数据分析服务的过程中及形成的工作成果符合国家及行业的安全要求，不对甲方的原有服务器及数据等造成任何安全隐患。否则应承担相应的法律责任并赔偿对甲方造成的全部损失。</w:t>
      </w:r>
    </w:p>
    <w:p>
      <w:pPr>
        <w:spacing w:line="360" w:lineRule="auto"/>
        <w:ind w:firstLine="480" w:firstLineChars="200"/>
        <w:jc w:val="left"/>
        <w:rPr>
          <w:color w:val="auto"/>
          <w:highlight w:val="none"/>
        </w:rPr>
      </w:pPr>
      <w:r>
        <w:rPr>
          <w:color w:val="auto"/>
          <w:sz w:val="24"/>
          <w:szCs w:val="24"/>
          <w:highlight w:val="none"/>
        </w:rPr>
        <w:t>5</w:t>
      </w:r>
      <w:r>
        <w:rPr>
          <w:rFonts w:hint="eastAsia"/>
          <w:color w:val="auto"/>
          <w:sz w:val="24"/>
          <w:szCs w:val="24"/>
          <w:highlight w:val="none"/>
        </w:rPr>
        <w:t>、</w:t>
      </w:r>
      <w:r>
        <w:rPr>
          <w:rFonts w:ascii="宋体" w:hAnsi="宋体"/>
          <w:color w:val="auto"/>
          <w:sz w:val="24"/>
          <w:szCs w:val="24"/>
          <w:highlight w:val="none"/>
        </w:rPr>
        <w:t>其他保证</w:t>
      </w:r>
    </w:p>
    <w:p>
      <w:pPr>
        <w:spacing w:line="360" w:lineRule="auto"/>
        <w:ind w:firstLine="480"/>
        <w:rPr>
          <w:color w:val="auto"/>
          <w:highlight w:val="none"/>
        </w:rPr>
      </w:pPr>
      <w:r>
        <w:rPr>
          <w:rFonts w:hint="eastAsia"/>
          <w:color w:val="auto"/>
          <w:sz w:val="24"/>
          <w:szCs w:val="24"/>
          <w:highlight w:val="none"/>
        </w:rPr>
        <w:t>（1）</w:t>
      </w:r>
      <w:r>
        <w:rPr>
          <w:rFonts w:ascii="宋体" w:hAnsi="宋体"/>
          <w:color w:val="auto"/>
          <w:sz w:val="24"/>
          <w:szCs w:val="24"/>
          <w:highlight w:val="none"/>
        </w:rPr>
        <w:t>在任何情况下，凡涉及本项目变更事项、改变工期、改变技术标准等有关问题，乙方均须与甲方共同商定并获批准后方可执行，否则，乙方须赔偿甲方因此造成的直接经济损失。</w:t>
      </w:r>
    </w:p>
    <w:p>
      <w:pPr>
        <w:spacing w:line="360" w:lineRule="auto"/>
        <w:ind w:firstLine="480"/>
        <w:rPr>
          <w:color w:val="auto"/>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w:t>
      </w:r>
      <w:r>
        <w:rPr>
          <w:rFonts w:ascii="宋体" w:hAnsi="宋体"/>
          <w:color w:val="auto"/>
          <w:sz w:val="24"/>
          <w:szCs w:val="24"/>
          <w:highlight w:val="none"/>
        </w:rPr>
        <w:t>乙方保证不将本项目分包和转包，否则，一经发现，乙方除双倍退还甲方已支付的合同款外，还须按合同总价的</w:t>
      </w:r>
      <w:r>
        <w:rPr>
          <w:color w:val="auto"/>
          <w:sz w:val="24"/>
          <w:szCs w:val="24"/>
          <w:highlight w:val="none"/>
        </w:rPr>
        <w:t>30%</w:t>
      </w:r>
      <w:r>
        <w:rPr>
          <w:rFonts w:ascii="宋体" w:hAnsi="宋体"/>
          <w:color w:val="auto"/>
          <w:sz w:val="24"/>
          <w:szCs w:val="24"/>
          <w:highlight w:val="none"/>
        </w:rPr>
        <w:t>一次性支付甲方违约金并赔偿因此造成甲方的经济损失，甲方有权终止合同。</w:t>
      </w:r>
    </w:p>
    <w:p>
      <w:pPr>
        <w:spacing w:line="360" w:lineRule="auto"/>
        <w:ind w:firstLine="480"/>
        <w:rPr>
          <w:color w:val="auto"/>
          <w:highlight w:val="none"/>
        </w:rPr>
      </w:pPr>
      <w:r>
        <w:rPr>
          <w:color w:val="auto"/>
          <w:sz w:val="24"/>
          <w:szCs w:val="24"/>
          <w:highlight w:val="none"/>
        </w:rPr>
        <w:t>6</w:t>
      </w:r>
      <w:r>
        <w:rPr>
          <w:rFonts w:hint="eastAsia"/>
          <w:color w:val="auto"/>
          <w:sz w:val="24"/>
          <w:szCs w:val="24"/>
          <w:highlight w:val="none"/>
        </w:rPr>
        <w:t>、</w:t>
      </w:r>
      <w:r>
        <w:rPr>
          <w:rFonts w:ascii="宋体" w:hAnsi="宋体"/>
          <w:color w:val="auto"/>
          <w:sz w:val="24"/>
          <w:szCs w:val="24"/>
          <w:highlight w:val="none"/>
        </w:rPr>
        <w:t>违约确认</w:t>
      </w:r>
    </w:p>
    <w:p>
      <w:pPr>
        <w:spacing w:line="360" w:lineRule="auto"/>
        <w:ind w:firstLine="480"/>
        <w:rPr>
          <w:color w:val="auto"/>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w:t>
      </w:r>
      <w:r>
        <w:rPr>
          <w:rFonts w:ascii="宋体" w:hAnsi="宋体"/>
          <w:color w:val="auto"/>
          <w:sz w:val="24"/>
          <w:szCs w:val="24"/>
          <w:highlight w:val="none"/>
        </w:rPr>
        <w:t>当双方发生上述违约责任时，双方均需对违约事项和金额进行书面确认。在守约方书面告知违约方违约事项和金额</w:t>
      </w:r>
      <w:r>
        <w:rPr>
          <w:color w:val="auto"/>
          <w:sz w:val="24"/>
          <w:szCs w:val="24"/>
          <w:highlight w:val="none"/>
        </w:rPr>
        <w:t>10</w:t>
      </w:r>
      <w:r>
        <w:rPr>
          <w:rFonts w:ascii="宋体" w:hAnsi="宋体"/>
          <w:color w:val="auto"/>
          <w:sz w:val="24"/>
          <w:szCs w:val="24"/>
          <w:highlight w:val="none"/>
        </w:rPr>
        <w:t>日后，违约方未进行书面确认或提出书面异议的，不影响守约方追究其违约责任的执行。</w:t>
      </w:r>
    </w:p>
    <w:p>
      <w:pPr>
        <w:spacing w:line="360" w:lineRule="auto"/>
        <w:ind w:firstLine="480"/>
        <w:rPr>
          <w:color w:val="auto"/>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w:t>
      </w:r>
      <w:r>
        <w:rPr>
          <w:rFonts w:ascii="宋体" w:hAnsi="宋体"/>
          <w:color w:val="auto"/>
          <w:sz w:val="24"/>
          <w:szCs w:val="24"/>
          <w:highlight w:val="none"/>
        </w:rPr>
        <w:t>根据绩效方案的试算结果以及乙方提交的绩效管理整体解决方案，如不能获得院长办公会、党委会、职代会讨论通过的，乙方须无条件进行修改，并应于</w:t>
      </w:r>
      <w:r>
        <w:rPr>
          <w:color w:val="auto"/>
          <w:sz w:val="24"/>
          <w:szCs w:val="24"/>
          <w:highlight w:val="none"/>
        </w:rPr>
        <w:t>7</w:t>
      </w:r>
      <w:r>
        <w:rPr>
          <w:rFonts w:ascii="宋体" w:hAnsi="宋体"/>
          <w:color w:val="auto"/>
          <w:sz w:val="24"/>
          <w:szCs w:val="24"/>
          <w:highlight w:val="none"/>
        </w:rPr>
        <w:t>个工作日内重新修改提交甲方审查；如经过</w:t>
      </w:r>
      <w:r>
        <w:rPr>
          <w:color w:val="auto"/>
          <w:sz w:val="24"/>
          <w:szCs w:val="24"/>
          <w:highlight w:val="none"/>
        </w:rPr>
        <w:t>3</w:t>
      </w:r>
      <w:r>
        <w:rPr>
          <w:rFonts w:ascii="宋体" w:hAnsi="宋体"/>
          <w:color w:val="auto"/>
          <w:sz w:val="24"/>
          <w:szCs w:val="24"/>
          <w:highlight w:val="none"/>
        </w:rPr>
        <w:t>次修改仍不能获得院长办公会、党委会、职代会通过的，则视为乙方不具备继续履行合同能力，乙方须按照合同相关的赔偿条款承担赔偿责任，甲方有权单方解除合同。</w:t>
      </w:r>
    </w:p>
    <w:p>
      <w:pPr>
        <w:spacing w:line="360" w:lineRule="auto"/>
        <w:rPr>
          <w:color w:val="auto"/>
          <w:highlight w:val="none"/>
        </w:rPr>
      </w:pPr>
      <w:r>
        <w:rPr>
          <w:color w:val="auto"/>
          <w:highlight w:val="none"/>
        </w:rPr>
        <w:t xml:space="preserve"> </w:t>
      </w:r>
      <w:r>
        <w:rPr>
          <w:rFonts w:hint="eastAsia"/>
          <w:b/>
          <w:bCs/>
          <w:color w:val="auto"/>
          <w:sz w:val="24"/>
          <w:szCs w:val="24"/>
          <w:highlight w:val="none"/>
        </w:rPr>
        <w:t>九、</w:t>
      </w:r>
      <w:r>
        <w:rPr>
          <w:rFonts w:ascii="宋体" w:hAnsi="宋体"/>
          <w:b/>
          <w:bCs/>
          <w:color w:val="auto"/>
          <w:sz w:val="24"/>
          <w:szCs w:val="24"/>
          <w:highlight w:val="none"/>
        </w:rPr>
        <w:t>赔偿责任</w:t>
      </w:r>
    </w:p>
    <w:p>
      <w:pPr>
        <w:spacing w:line="360" w:lineRule="auto"/>
        <w:ind w:firstLine="480"/>
        <w:rPr>
          <w:color w:val="auto"/>
          <w:highlight w:val="none"/>
        </w:rPr>
      </w:pPr>
      <w:r>
        <w:rPr>
          <w:color w:val="auto"/>
          <w:sz w:val="24"/>
          <w:szCs w:val="24"/>
          <w:highlight w:val="none"/>
        </w:rPr>
        <w:t>1</w:t>
      </w:r>
      <w:r>
        <w:rPr>
          <w:rFonts w:hint="eastAsia"/>
          <w:color w:val="auto"/>
          <w:sz w:val="24"/>
          <w:szCs w:val="24"/>
          <w:highlight w:val="none"/>
        </w:rPr>
        <w:t>、</w:t>
      </w:r>
      <w:r>
        <w:rPr>
          <w:rFonts w:ascii="宋体" w:hAnsi="宋体"/>
          <w:color w:val="auto"/>
          <w:sz w:val="24"/>
          <w:szCs w:val="24"/>
          <w:highlight w:val="none"/>
        </w:rPr>
        <w:t>由于乙方工作成果质量问题给甲方造成经济损失</w:t>
      </w:r>
      <w:r>
        <w:rPr>
          <w:color w:val="auto"/>
          <w:sz w:val="24"/>
          <w:szCs w:val="24"/>
          <w:highlight w:val="none"/>
        </w:rPr>
        <w:t>,</w:t>
      </w:r>
      <w:r>
        <w:rPr>
          <w:rFonts w:ascii="宋体" w:hAnsi="宋体"/>
          <w:color w:val="auto"/>
          <w:sz w:val="24"/>
          <w:szCs w:val="24"/>
          <w:highlight w:val="none"/>
        </w:rPr>
        <w:t>将由乙方赔偿经济损失，并按照合同总价的</w:t>
      </w:r>
      <w:r>
        <w:rPr>
          <w:color w:val="auto"/>
          <w:sz w:val="24"/>
          <w:szCs w:val="24"/>
          <w:highlight w:val="none"/>
        </w:rPr>
        <w:t>10%</w:t>
      </w:r>
      <w:r>
        <w:rPr>
          <w:rFonts w:ascii="宋体" w:hAnsi="宋体"/>
          <w:color w:val="auto"/>
          <w:sz w:val="24"/>
          <w:szCs w:val="24"/>
          <w:highlight w:val="none"/>
        </w:rPr>
        <w:t>向甲方支付违约金。</w:t>
      </w:r>
    </w:p>
    <w:p>
      <w:pPr>
        <w:spacing w:line="360" w:lineRule="auto"/>
        <w:ind w:firstLine="480"/>
        <w:rPr>
          <w:color w:val="auto"/>
          <w:highlight w:val="none"/>
        </w:rPr>
      </w:pPr>
      <w:r>
        <w:rPr>
          <w:rFonts w:hint="eastAsia"/>
          <w:color w:val="auto"/>
          <w:sz w:val="24"/>
          <w:szCs w:val="24"/>
          <w:highlight w:val="none"/>
        </w:rPr>
        <w:t>2、</w:t>
      </w:r>
      <w:r>
        <w:rPr>
          <w:rFonts w:ascii="宋体" w:hAnsi="宋体"/>
          <w:color w:val="auto"/>
          <w:sz w:val="24"/>
          <w:szCs w:val="24"/>
          <w:highlight w:val="none"/>
        </w:rPr>
        <w:t>如果</w:t>
      </w:r>
      <w:r>
        <w:rPr>
          <w:rFonts w:hint="eastAsia" w:ascii="宋体" w:hAnsi="宋体"/>
          <w:color w:val="auto"/>
          <w:sz w:val="24"/>
          <w:szCs w:val="24"/>
          <w:highlight w:val="none"/>
        </w:rPr>
        <w:t>由于乙方原因</w:t>
      </w:r>
      <w:r>
        <w:rPr>
          <w:rFonts w:ascii="宋体" w:hAnsi="宋体"/>
          <w:color w:val="auto"/>
          <w:sz w:val="24"/>
          <w:szCs w:val="24"/>
          <w:highlight w:val="none"/>
        </w:rPr>
        <w:t>乙方在合同期内擅自终止提供服务，甲方可不支付乙方已</w:t>
      </w:r>
      <w:r>
        <w:rPr>
          <w:rFonts w:hint="eastAsia" w:ascii="宋体" w:hAnsi="宋体"/>
          <w:color w:val="auto"/>
          <w:sz w:val="24"/>
          <w:szCs w:val="24"/>
          <w:highlight w:val="none"/>
        </w:rPr>
        <w:t>履行</w:t>
      </w:r>
      <w:r>
        <w:rPr>
          <w:rFonts w:ascii="宋体" w:hAnsi="宋体"/>
          <w:color w:val="auto"/>
          <w:sz w:val="24"/>
          <w:szCs w:val="24"/>
          <w:highlight w:val="none"/>
        </w:rPr>
        <w:t>部分的合同款，并且乙方需向甲方退还已付的合同款，赔偿因此造成甲方的经济损失</w:t>
      </w:r>
      <w:r>
        <w:rPr>
          <w:rFonts w:hint="eastAsia" w:ascii="宋体" w:hAnsi="宋体"/>
          <w:color w:val="auto"/>
          <w:sz w:val="24"/>
          <w:szCs w:val="24"/>
          <w:highlight w:val="none"/>
        </w:rPr>
        <w:t>；如因非乙方原因（甲方原因、不可抗力原因等）导致乙方终止提供服务情形，乙方不承担赔偿责任，也无</w:t>
      </w:r>
      <w:r>
        <w:rPr>
          <w:rFonts w:ascii="宋体" w:hAnsi="宋体"/>
          <w:color w:val="auto"/>
          <w:sz w:val="24"/>
          <w:szCs w:val="24"/>
          <w:highlight w:val="none"/>
        </w:rPr>
        <w:t>需向甲方退还已付的合同款。</w:t>
      </w:r>
    </w:p>
    <w:p>
      <w:pPr>
        <w:spacing w:line="360" w:lineRule="auto"/>
        <w:ind w:firstLine="480"/>
        <w:rPr>
          <w:color w:val="auto"/>
          <w:highlight w:val="none"/>
        </w:rPr>
      </w:pPr>
      <w:r>
        <w:rPr>
          <w:rFonts w:hint="eastAsia"/>
          <w:color w:val="auto"/>
          <w:sz w:val="24"/>
          <w:szCs w:val="24"/>
          <w:highlight w:val="none"/>
        </w:rPr>
        <w:t>3、</w:t>
      </w:r>
      <w:r>
        <w:rPr>
          <w:rFonts w:ascii="宋体" w:hAnsi="宋体"/>
          <w:color w:val="auto"/>
          <w:sz w:val="24"/>
          <w:szCs w:val="24"/>
          <w:highlight w:val="none"/>
        </w:rPr>
        <w:t>如果</w:t>
      </w:r>
      <w:r>
        <w:rPr>
          <w:rFonts w:hint="eastAsia" w:ascii="宋体" w:hAnsi="宋体"/>
          <w:color w:val="auto"/>
          <w:sz w:val="24"/>
          <w:szCs w:val="24"/>
          <w:highlight w:val="none"/>
        </w:rPr>
        <w:t>由于乙方原因导致</w:t>
      </w:r>
      <w:r>
        <w:rPr>
          <w:rFonts w:ascii="宋体" w:hAnsi="宋体"/>
          <w:color w:val="auto"/>
          <w:sz w:val="24"/>
          <w:szCs w:val="24"/>
          <w:highlight w:val="none"/>
        </w:rPr>
        <w:t>乙方完全未能履行合同或未能完全履行合同规定的全部</w:t>
      </w:r>
      <w:r>
        <w:rPr>
          <w:rFonts w:hint="eastAsia" w:ascii="宋体" w:hAnsi="宋体"/>
          <w:color w:val="auto"/>
          <w:sz w:val="24"/>
          <w:szCs w:val="24"/>
          <w:highlight w:val="none"/>
        </w:rPr>
        <w:t>/部分</w:t>
      </w:r>
      <w:r>
        <w:rPr>
          <w:rFonts w:ascii="宋体" w:hAnsi="宋体"/>
          <w:color w:val="auto"/>
          <w:sz w:val="24"/>
          <w:szCs w:val="24"/>
          <w:highlight w:val="none"/>
        </w:rPr>
        <w:t>义务（含保密义务），除退还甲方已支付的合同款外，还须按合同总价的</w:t>
      </w:r>
      <w:r>
        <w:rPr>
          <w:color w:val="auto"/>
          <w:sz w:val="24"/>
          <w:szCs w:val="24"/>
          <w:highlight w:val="none"/>
        </w:rPr>
        <w:t>30%</w:t>
      </w:r>
      <w:r>
        <w:rPr>
          <w:rFonts w:ascii="宋体" w:hAnsi="宋体"/>
          <w:color w:val="auto"/>
          <w:sz w:val="24"/>
          <w:szCs w:val="24"/>
          <w:highlight w:val="none"/>
        </w:rPr>
        <w:t>一次性支付甲方违约金并赔偿因此造成甲方的经济损失，甲方有权终止合同</w:t>
      </w:r>
      <w:r>
        <w:rPr>
          <w:rFonts w:hint="eastAsia" w:ascii="宋体" w:hAnsi="宋体"/>
          <w:color w:val="auto"/>
          <w:sz w:val="24"/>
          <w:szCs w:val="24"/>
          <w:highlight w:val="none"/>
        </w:rPr>
        <w:t>；如因非乙方原因（甲方原因、不可抗力原因等）导致乙方</w:t>
      </w:r>
      <w:r>
        <w:rPr>
          <w:rFonts w:ascii="宋体" w:hAnsi="宋体"/>
          <w:color w:val="auto"/>
          <w:sz w:val="24"/>
          <w:szCs w:val="24"/>
          <w:highlight w:val="none"/>
        </w:rPr>
        <w:t>完全未能履行合同或未能完全履行合同规定的全部</w:t>
      </w:r>
      <w:r>
        <w:rPr>
          <w:rFonts w:hint="eastAsia" w:ascii="宋体" w:hAnsi="宋体"/>
          <w:color w:val="auto"/>
          <w:sz w:val="24"/>
          <w:szCs w:val="24"/>
          <w:highlight w:val="none"/>
        </w:rPr>
        <w:t>/部分</w:t>
      </w:r>
      <w:r>
        <w:rPr>
          <w:rFonts w:ascii="宋体" w:hAnsi="宋体"/>
          <w:color w:val="auto"/>
          <w:sz w:val="24"/>
          <w:szCs w:val="24"/>
          <w:highlight w:val="none"/>
        </w:rPr>
        <w:t>义务（含保密义务）</w:t>
      </w:r>
      <w:r>
        <w:rPr>
          <w:rFonts w:hint="eastAsia" w:ascii="宋体" w:hAnsi="宋体"/>
          <w:color w:val="auto"/>
          <w:sz w:val="24"/>
          <w:szCs w:val="24"/>
          <w:highlight w:val="none"/>
        </w:rPr>
        <w:t>，乙方不承担赔偿责任，也无</w:t>
      </w:r>
      <w:r>
        <w:rPr>
          <w:rFonts w:ascii="宋体" w:hAnsi="宋体"/>
          <w:color w:val="auto"/>
          <w:sz w:val="24"/>
          <w:szCs w:val="24"/>
          <w:highlight w:val="none"/>
        </w:rPr>
        <w:t>需向甲方退还已付的合同款。</w:t>
      </w:r>
    </w:p>
    <w:p>
      <w:pPr>
        <w:spacing w:line="360" w:lineRule="auto"/>
        <w:rPr>
          <w:color w:val="auto"/>
          <w:highlight w:val="none"/>
        </w:rPr>
      </w:pPr>
      <w:r>
        <w:rPr>
          <w:rFonts w:hint="eastAsia"/>
          <w:color w:val="auto"/>
          <w:highlight w:val="none"/>
        </w:rPr>
        <w:t>十</w:t>
      </w:r>
      <w:r>
        <w:rPr>
          <w:color w:val="auto"/>
          <w:highlight w:val="none"/>
        </w:rPr>
        <w:t>、</w:t>
      </w:r>
      <w:r>
        <w:rPr>
          <w:rFonts w:ascii="宋体" w:hAnsi="宋体"/>
          <w:b/>
          <w:bCs/>
          <w:color w:val="auto"/>
          <w:sz w:val="24"/>
          <w:szCs w:val="24"/>
          <w:highlight w:val="none"/>
        </w:rPr>
        <w:t>争议解决</w:t>
      </w:r>
    </w:p>
    <w:p>
      <w:pPr>
        <w:spacing w:line="360" w:lineRule="auto"/>
        <w:ind w:firstLine="480"/>
        <w:rPr>
          <w:color w:val="auto"/>
          <w:highlight w:val="none"/>
        </w:rPr>
      </w:pPr>
      <w:r>
        <w:rPr>
          <w:rFonts w:ascii="宋体" w:hAnsi="宋体"/>
          <w:color w:val="auto"/>
          <w:sz w:val="24"/>
          <w:szCs w:val="24"/>
          <w:highlight w:val="none"/>
        </w:rPr>
        <w:t>甲乙双方在履行本合同约定事项时发生的一切争执和分歧应由双方通过友好协商解决，协商不成的，可向甲方所在地人民法院提起诉讼。诉讼受理期间，双方应继续履行本合同其余部分。</w:t>
      </w:r>
    </w:p>
    <w:p>
      <w:pPr>
        <w:spacing w:line="360" w:lineRule="auto"/>
        <w:rPr>
          <w:color w:val="auto"/>
          <w:highlight w:val="none"/>
        </w:rPr>
      </w:pPr>
      <w:r>
        <w:rPr>
          <w:rFonts w:hint="eastAsia"/>
          <w:b/>
          <w:bCs/>
          <w:color w:val="auto"/>
          <w:sz w:val="24"/>
          <w:szCs w:val="24"/>
          <w:highlight w:val="none"/>
        </w:rPr>
        <w:t>十一、</w:t>
      </w:r>
      <w:r>
        <w:rPr>
          <w:rFonts w:ascii="宋体" w:hAnsi="宋体"/>
          <w:b/>
          <w:bCs/>
          <w:color w:val="auto"/>
          <w:sz w:val="24"/>
          <w:szCs w:val="24"/>
          <w:highlight w:val="none"/>
        </w:rPr>
        <w:t>保密条款</w:t>
      </w:r>
    </w:p>
    <w:p>
      <w:pPr>
        <w:spacing w:line="360" w:lineRule="auto"/>
        <w:ind w:firstLine="480"/>
        <w:rPr>
          <w:color w:val="auto"/>
          <w:highlight w:val="none"/>
        </w:rPr>
      </w:pPr>
      <w:r>
        <w:rPr>
          <w:rFonts w:ascii="宋体" w:hAnsi="宋体"/>
          <w:color w:val="auto"/>
          <w:sz w:val="24"/>
          <w:szCs w:val="24"/>
          <w:highlight w:val="none"/>
        </w:rPr>
        <w:t>双方应对本项目中接触到的对方所有的知识产权、商业秘密、技术成果等信息负保密义务（除已通过出版物或其他合法途径公开的内容）。未经对方书面同意，不得向社会公众或第三方通过任何途径出示、泄露，不得许可使用，不得对上述信息进行复制、传播、销售。</w:t>
      </w:r>
    </w:p>
    <w:p>
      <w:pPr>
        <w:spacing w:line="360" w:lineRule="auto"/>
        <w:rPr>
          <w:color w:val="auto"/>
          <w:highlight w:val="none"/>
        </w:rPr>
      </w:pPr>
    </w:p>
    <w:p>
      <w:pPr>
        <w:spacing w:line="360" w:lineRule="auto"/>
        <w:rPr>
          <w:color w:val="auto"/>
          <w:highlight w:val="none"/>
        </w:rPr>
      </w:pPr>
      <w:r>
        <w:rPr>
          <w:rFonts w:hint="eastAsia"/>
          <w:b/>
          <w:bCs/>
          <w:color w:val="auto"/>
          <w:sz w:val="24"/>
          <w:szCs w:val="24"/>
          <w:highlight w:val="none"/>
        </w:rPr>
        <w:t>十二、</w:t>
      </w:r>
      <w:r>
        <w:rPr>
          <w:rFonts w:ascii="宋体" w:hAnsi="宋体"/>
          <w:b/>
          <w:bCs/>
          <w:color w:val="auto"/>
          <w:sz w:val="24"/>
          <w:szCs w:val="24"/>
          <w:highlight w:val="none"/>
        </w:rPr>
        <w:t>不可抗力</w:t>
      </w:r>
    </w:p>
    <w:p>
      <w:pPr>
        <w:spacing w:line="360" w:lineRule="auto"/>
        <w:ind w:firstLine="480"/>
        <w:rPr>
          <w:color w:val="auto"/>
          <w:highlight w:val="none"/>
        </w:rPr>
      </w:pPr>
      <w:r>
        <w:rPr>
          <w:color w:val="auto"/>
          <w:sz w:val="24"/>
          <w:szCs w:val="24"/>
          <w:highlight w:val="none"/>
        </w:rPr>
        <w:t>1</w:t>
      </w:r>
      <w:r>
        <w:rPr>
          <w:rFonts w:hint="eastAsia"/>
          <w:color w:val="auto"/>
          <w:sz w:val="24"/>
          <w:szCs w:val="24"/>
          <w:highlight w:val="none"/>
        </w:rPr>
        <w:t>、</w:t>
      </w:r>
      <w:r>
        <w:rPr>
          <w:rFonts w:ascii="宋体" w:hAnsi="宋体"/>
          <w:color w:val="auto"/>
          <w:sz w:val="24"/>
          <w:szCs w:val="24"/>
          <w:highlight w:val="none"/>
        </w:rPr>
        <w:t>本条所述的</w:t>
      </w:r>
      <w:r>
        <w:rPr>
          <w:color w:val="auto"/>
          <w:sz w:val="24"/>
          <w:szCs w:val="24"/>
          <w:highlight w:val="none"/>
        </w:rPr>
        <w:t>“</w:t>
      </w:r>
      <w:r>
        <w:rPr>
          <w:rFonts w:ascii="宋体" w:hAnsi="宋体"/>
          <w:color w:val="auto"/>
          <w:sz w:val="24"/>
          <w:szCs w:val="24"/>
          <w:highlight w:val="none"/>
        </w:rPr>
        <w:t>不可抗力</w:t>
      </w:r>
      <w:r>
        <w:rPr>
          <w:color w:val="auto"/>
          <w:sz w:val="24"/>
          <w:szCs w:val="24"/>
          <w:highlight w:val="none"/>
        </w:rPr>
        <w:t>”</w:t>
      </w:r>
      <w:r>
        <w:rPr>
          <w:rFonts w:ascii="宋体" w:hAnsi="宋体"/>
          <w:color w:val="auto"/>
          <w:sz w:val="24"/>
          <w:szCs w:val="24"/>
          <w:highlight w:val="none"/>
        </w:rPr>
        <w:t>系指那些双方在订立合同时无法控制、不可预见的事件。这些事件包括：战争、水灾、地震以及双方同意的事件。当不可抗力事件发生时，执行合同的期限将相应延长。</w:t>
      </w:r>
    </w:p>
    <w:p>
      <w:pPr>
        <w:spacing w:line="360" w:lineRule="auto"/>
        <w:ind w:firstLine="480"/>
        <w:rPr>
          <w:color w:val="auto"/>
          <w:highlight w:val="none"/>
        </w:rPr>
      </w:pPr>
      <w:r>
        <w:rPr>
          <w:color w:val="auto"/>
          <w:sz w:val="24"/>
          <w:szCs w:val="24"/>
          <w:highlight w:val="none"/>
        </w:rPr>
        <w:t>2</w:t>
      </w:r>
      <w:r>
        <w:rPr>
          <w:rFonts w:hint="eastAsia"/>
          <w:color w:val="auto"/>
          <w:sz w:val="24"/>
          <w:szCs w:val="24"/>
          <w:highlight w:val="none"/>
        </w:rPr>
        <w:t>、</w:t>
      </w:r>
      <w:r>
        <w:rPr>
          <w:rFonts w:ascii="宋体" w:hAnsi="宋体"/>
          <w:color w:val="auto"/>
          <w:sz w:val="24"/>
          <w:szCs w:val="24"/>
          <w:highlight w:val="none"/>
        </w:rPr>
        <w:t>在不可抗力事件发生时，乙方应在</w:t>
      </w:r>
      <w:r>
        <w:rPr>
          <w:color w:val="auto"/>
          <w:sz w:val="24"/>
          <w:szCs w:val="24"/>
          <w:highlight w:val="none"/>
        </w:rPr>
        <w:t>3</w:t>
      </w:r>
      <w:r>
        <w:rPr>
          <w:rFonts w:ascii="宋体" w:hAnsi="宋体"/>
          <w:color w:val="auto"/>
          <w:sz w:val="24"/>
          <w:szCs w:val="24"/>
          <w:highlight w:val="none"/>
        </w:rPr>
        <w:t>日内以书面形式将不可抗力的情况和原因通知甲方。同时必须在</w:t>
      </w:r>
      <w:r>
        <w:rPr>
          <w:color w:val="auto"/>
          <w:sz w:val="24"/>
          <w:szCs w:val="24"/>
          <w:highlight w:val="none"/>
        </w:rPr>
        <w:t>7</w:t>
      </w:r>
      <w:r>
        <w:rPr>
          <w:rFonts w:ascii="宋体" w:hAnsi="宋体"/>
          <w:color w:val="auto"/>
          <w:sz w:val="24"/>
          <w:szCs w:val="24"/>
          <w:highlight w:val="none"/>
        </w:rPr>
        <w:t>日内递交有关政府部门的证明。如果不可抗力超过</w:t>
      </w:r>
      <w:r>
        <w:rPr>
          <w:color w:val="auto"/>
          <w:sz w:val="24"/>
          <w:szCs w:val="24"/>
          <w:highlight w:val="none"/>
        </w:rPr>
        <w:t>120</w:t>
      </w:r>
      <w:r>
        <w:rPr>
          <w:rFonts w:ascii="宋体" w:hAnsi="宋体"/>
          <w:color w:val="auto"/>
          <w:sz w:val="24"/>
          <w:szCs w:val="24"/>
          <w:highlight w:val="none"/>
        </w:rPr>
        <w:t>天，双方将通过友好协商就合同的执行达成协议。</w:t>
      </w:r>
    </w:p>
    <w:p>
      <w:pPr>
        <w:spacing w:line="360" w:lineRule="auto"/>
        <w:rPr>
          <w:color w:val="auto"/>
          <w:highlight w:val="none"/>
        </w:rPr>
      </w:pPr>
      <w:r>
        <w:rPr>
          <w:rFonts w:hint="eastAsia"/>
          <w:color w:val="auto"/>
          <w:highlight w:val="none"/>
        </w:rPr>
        <w:t>十三</w:t>
      </w:r>
      <w:r>
        <w:rPr>
          <w:color w:val="auto"/>
          <w:highlight w:val="none"/>
        </w:rPr>
        <w:t>、</w:t>
      </w:r>
      <w:r>
        <w:rPr>
          <w:rFonts w:ascii="宋体" w:hAnsi="宋体"/>
          <w:b/>
          <w:bCs/>
          <w:color w:val="auto"/>
          <w:sz w:val="24"/>
          <w:szCs w:val="24"/>
          <w:highlight w:val="none"/>
        </w:rPr>
        <w:t>合同变更</w:t>
      </w:r>
    </w:p>
    <w:p>
      <w:pPr>
        <w:spacing w:line="360" w:lineRule="auto"/>
        <w:ind w:firstLine="480"/>
        <w:rPr>
          <w:color w:val="auto"/>
          <w:highlight w:val="none"/>
        </w:rPr>
      </w:pPr>
      <w:r>
        <w:rPr>
          <w:rFonts w:ascii="宋体" w:hAnsi="宋体"/>
          <w:color w:val="auto"/>
          <w:sz w:val="24"/>
          <w:szCs w:val="24"/>
          <w:highlight w:val="none"/>
        </w:rPr>
        <w:t>任何对合同条件的变更或修改均须双方签订书面的补充协议，并将作为本合同不可分割的部分，与本合同具有同等法律效力。</w:t>
      </w:r>
    </w:p>
    <w:p>
      <w:pPr>
        <w:spacing w:line="360" w:lineRule="auto"/>
        <w:rPr>
          <w:color w:val="auto"/>
          <w:highlight w:val="none"/>
        </w:rPr>
      </w:pPr>
      <w:r>
        <w:rPr>
          <w:color w:val="auto"/>
          <w:highlight w:val="none"/>
        </w:rPr>
        <w:t xml:space="preserve"> </w:t>
      </w:r>
      <w:r>
        <w:rPr>
          <w:rFonts w:hint="eastAsia"/>
          <w:b/>
          <w:bCs/>
          <w:color w:val="auto"/>
          <w:sz w:val="24"/>
          <w:szCs w:val="24"/>
          <w:highlight w:val="none"/>
        </w:rPr>
        <w:t>十四、</w:t>
      </w:r>
      <w:r>
        <w:rPr>
          <w:rFonts w:ascii="宋体" w:hAnsi="宋体"/>
          <w:b/>
          <w:bCs/>
          <w:color w:val="auto"/>
          <w:sz w:val="24"/>
          <w:szCs w:val="24"/>
          <w:highlight w:val="none"/>
        </w:rPr>
        <w:t>合同生效：</w:t>
      </w:r>
    </w:p>
    <w:p>
      <w:pPr>
        <w:spacing w:line="360" w:lineRule="auto"/>
        <w:ind w:firstLine="480"/>
        <w:rPr>
          <w:color w:val="auto"/>
          <w:highlight w:val="none"/>
        </w:rPr>
      </w:pPr>
      <w:r>
        <w:rPr>
          <w:color w:val="auto"/>
          <w:sz w:val="24"/>
          <w:szCs w:val="24"/>
          <w:highlight w:val="none"/>
        </w:rPr>
        <w:t>1</w:t>
      </w:r>
      <w:r>
        <w:rPr>
          <w:rFonts w:hint="eastAsia"/>
          <w:color w:val="auto"/>
          <w:sz w:val="24"/>
          <w:szCs w:val="24"/>
          <w:highlight w:val="none"/>
        </w:rPr>
        <w:t>、</w:t>
      </w:r>
      <w:r>
        <w:rPr>
          <w:rFonts w:ascii="宋体" w:hAnsi="宋体"/>
          <w:color w:val="auto"/>
          <w:sz w:val="24"/>
          <w:szCs w:val="24"/>
          <w:highlight w:val="none"/>
        </w:rPr>
        <w:t>本合同在甲乙双方法人代表或其授权代表签字盖章后生效。</w:t>
      </w:r>
    </w:p>
    <w:p>
      <w:pPr>
        <w:spacing w:line="360" w:lineRule="auto"/>
        <w:ind w:firstLine="480"/>
        <w:rPr>
          <w:color w:val="auto"/>
          <w:highlight w:val="none"/>
        </w:rPr>
      </w:pPr>
      <w:r>
        <w:rPr>
          <w:color w:val="auto"/>
          <w:sz w:val="24"/>
          <w:szCs w:val="24"/>
          <w:highlight w:val="none"/>
        </w:rPr>
        <w:t>2</w:t>
      </w:r>
      <w:r>
        <w:rPr>
          <w:rFonts w:hint="eastAsia"/>
          <w:color w:val="auto"/>
          <w:sz w:val="24"/>
          <w:szCs w:val="24"/>
          <w:highlight w:val="none"/>
        </w:rPr>
        <w:t>、</w:t>
      </w:r>
      <w:r>
        <w:rPr>
          <w:rFonts w:ascii="宋体" w:hAnsi="宋体"/>
          <w:color w:val="auto"/>
          <w:sz w:val="24"/>
          <w:szCs w:val="24"/>
          <w:highlight w:val="none"/>
        </w:rPr>
        <w:t>合同一式</w:t>
      </w:r>
      <w:r>
        <w:rPr>
          <w:rFonts w:ascii="宋体" w:hAnsi="宋体"/>
          <w:color w:val="auto"/>
          <w:sz w:val="24"/>
          <w:szCs w:val="24"/>
          <w:highlight w:val="none"/>
          <w:u w:val="single"/>
        </w:rPr>
        <w:t>陆</w:t>
      </w:r>
      <w:r>
        <w:rPr>
          <w:rFonts w:ascii="宋体" w:hAnsi="宋体"/>
          <w:color w:val="auto"/>
          <w:sz w:val="24"/>
          <w:szCs w:val="24"/>
          <w:highlight w:val="none"/>
        </w:rPr>
        <w:t>份，甲、乙双方各执叁份，具有同等法律效力。</w:t>
      </w:r>
    </w:p>
    <w:p>
      <w:pPr>
        <w:spacing w:line="360" w:lineRule="auto"/>
        <w:rPr>
          <w:color w:val="auto"/>
          <w:highlight w:val="none"/>
        </w:rPr>
      </w:pPr>
      <w:r>
        <w:rPr>
          <w:color w:val="auto"/>
          <w:highlight w:val="none"/>
        </w:rPr>
        <w:t xml:space="preserve"> </w:t>
      </w:r>
    </w:p>
    <w:p>
      <w:pPr>
        <w:spacing w:line="360" w:lineRule="auto"/>
        <w:rPr>
          <w:color w:val="auto"/>
          <w:highlight w:val="none"/>
        </w:rPr>
      </w:pPr>
      <w:r>
        <w:rPr>
          <w:color w:val="auto"/>
          <w:highlight w:val="none"/>
        </w:rPr>
        <w:t xml:space="preserve"> </w:t>
      </w:r>
    </w:p>
    <w:p>
      <w:pPr>
        <w:spacing w:line="360" w:lineRule="auto"/>
        <w:rPr>
          <w:color w:val="auto"/>
          <w:highlight w:val="none"/>
        </w:rPr>
      </w:pPr>
      <w:r>
        <w:rPr>
          <w:rFonts w:ascii="宋体" w:hAnsi="宋体"/>
          <w:b/>
          <w:bCs/>
          <w:color w:val="auto"/>
          <w:sz w:val="24"/>
          <w:szCs w:val="24"/>
          <w:highlight w:val="none"/>
        </w:rPr>
        <w:t>甲方（盖章）：</w:t>
      </w:r>
      <w:r>
        <w:rPr>
          <w:b/>
          <w:bCs/>
          <w:color w:val="auto"/>
          <w:sz w:val="24"/>
          <w:szCs w:val="24"/>
          <w:highlight w:val="none"/>
        </w:rPr>
        <w:t xml:space="preserve">                    </w:t>
      </w:r>
      <w:r>
        <w:rPr>
          <w:rFonts w:ascii="宋体" w:hAnsi="宋体"/>
          <w:b/>
          <w:bCs/>
          <w:color w:val="auto"/>
          <w:sz w:val="24"/>
          <w:szCs w:val="24"/>
          <w:highlight w:val="none"/>
        </w:rPr>
        <w:t>乙方（盖章）：</w:t>
      </w:r>
    </w:p>
    <w:p>
      <w:pPr>
        <w:spacing w:line="360" w:lineRule="auto"/>
        <w:rPr>
          <w:color w:val="auto"/>
          <w:highlight w:val="none"/>
        </w:rPr>
      </w:pPr>
      <w:r>
        <w:rPr>
          <w:color w:val="auto"/>
          <w:highlight w:val="none"/>
        </w:rPr>
        <w:t xml:space="preserve"> </w:t>
      </w:r>
    </w:p>
    <w:p>
      <w:pPr>
        <w:spacing w:line="360" w:lineRule="auto"/>
        <w:rPr>
          <w:color w:val="auto"/>
          <w:highlight w:val="none"/>
        </w:rPr>
      </w:pPr>
      <w:r>
        <w:rPr>
          <w:rFonts w:ascii="宋体" w:hAnsi="宋体"/>
          <w:b/>
          <w:bCs/>
          <w:color w:val="auto"/>
          <w:sz w:val="24"/>
          <w:szCs w:val="24"/>
          <w:highlight w:val="none"/>
        </w:rPr>
        <w:t>法定代表人</w:t>
      </w:r>
      <w:r>
        <w:rPr>
          <w:b/>
          <w:bCs/>
          <w:color w:val="auto"/>
          <w:sz w:val="24"/>
          <w:szCs w:val="24"/>
          <w:highlight w:val="none"/>
        </w:rPr>
        <w:t>/</w:t>
      </w:r>
      <w:r>
        <w:rPr>
          <w:rFonts w:ascii="宋体" w:hAnsi="宋体"/>
          <w:b/>
          <w:bCs/>
          <w:color w:val="auto"/>
          <w:sz w:val="24"/>
          <w:szCs w:val="24"/>
          <w:highlight w:val="none"/>
        </w:rPr>
        <w:t>授权代表：         法定代表人</w:t>
      </w:r>
      <w:r>
        <w:rPr>
          <w:b/>
          <w:bCs/>
          <w:color w:val="auto"/>
          <w:sz w:val="24"/>
          <w:szCs w:val="24"/>
          <w:highlight w:val="none"/>
        </w:rPr>
        <w:t>/</w:t>
      </w:r>
      <w:r>
        <w:rPr>
          <w:rFonts w:ascii="宋体" w:hAnsi="宋体"/>
          <w:b/>
          <w:bCs/>
          <w:color w:val="auto"/>
          <w:sz w:val="24"/>
          <w:szCs w:val="24"/>
          <w:highlight w:val="none"/>
        </w:rPr>
        <w:t>授权代表：</w:t>
      </w:r>
    </w:p>
    <w:p>
      <w:pPr>
        <w:spacing w:line="360" w:lineRule="auto"/>
        <w:rPr>
          <w:color w:val="auto"/>
          <w:highlight w:val="none"/>
        </w:rPr>
      </w:pPr>
      <w:r>
        <w:rPr>
          <w:color w:val="auto"/>
          <w:highlight w:val="none"/>
        </w:rPr>
        <w:t xml:space="preserve"> </w:t>
      </w:r>
    </w:p>
    <w:p>
      <w:pPr>
        <w:spacing w:line="360" w:lineRule="auto"/>
        <w:rPr>
          <w:color w:val="auto"/>
          <w:highlight w:val="none"/>
        </w:rPr>
      </w:pPr>
      <w:r>
        <w:rPr>
          <w:rFonts w:ascii="宋体" w:hAnsi="宋体"/>
          <w:color w:val="auto"/>
          <w:sz w:val="24"/>
          <w:szCs w:val="24"/>
          <w:highlight w:val="none"/>
        </w:rPr>
        <w:t>签定地点：</w:t>
      </w:r>
    </w:p>
    <w:p>
      <w:pPr>
        <w:spacing w:line="360" w:lineRule="auto"/>
        <w:rPr>
          <w:color w:val="auto"/>
          <w:highlight w:val="none"/>
        </w:rPr>
      </w:pPr>
      <w:r>
        <w:rPr>
          <w:color w:val="auto"/>
          <w:highlight w:val="none"/>
        </w:rPr>
        <w:t xml:space="preserve"> </w:t>
      </w:r>
    </w:p>
    <w:p>
      <w:pPr>
        <w:spacing w:line="360" w:lineRule="auto"/>
        <w:rPr>
          <w:color w:val="auto"/>
          <w:highlight w:val="none"/>
        </w:rPr>
      </w:pPr>
      <w:r>
        <w:rPr>
          <w:rFonts w:ascii="宋体" w:hAnsi="宋体"/>
          <w:color w:val="auto"/>
          <w:sz w:val="24"/>
          <w:szCs w:val="24"/>
          <w:highlight w:val="none"/>
        </w:rPr>
        <w:t>签定日期：</w:t>
      </w:r>
      <w:r>
        <w:rPr>
          <w:color w:val="auto"/>
          <w:sz w:val="24"/>
          <w:szCs w:val="24"/>
          <w:highlight w:val="none"/>
        </w:rPr>
        <w:t xml:space="preserve">    </w:t>
      </w:r>
      <w:r>
        <w:rPr>
          <w:rFonts w:ascii="宋体" w:hAnsi="宋体"/>
          <w:color w:val="auto"/>
          <w:sz w:val="24"/>
          <w:szCs w:val="24"/>
          <w:highlight w:val="none"/>
        </w:rPr>
        <w:t>年</w:t>
      </w:r>
      <w:r>
        <w:rPr>
          <w:color w:val="auto"/>
          <w:highlight w:val="none"/>
        </w:rPr>
        <w:t xml:space="preserve">    </w:t>
      </w:r>
      <w:r>
        <w:rPr>
          <w:rFonts w:ascii="宋体" w:hAnsi="宋体"/>
          <w:color w:val="auto"/>
          <w:sz w:val="24"/>
          <w:szCs w:val="24"/>
          <w:highlight w:val="none"/>
        </w:rPr>
        <w:t>月</w:t>
      </w:r>
      <w:r>
        <w:rPr>
          <w:color w:val="auto"/>
          <w:highlight w:val="none"/>
        </w:rPr>
        <w:t xml:space="preserve">    </w:t>
      </w:r>
      <w:r>
        <w:rPr>
          <w:rFonts w:ascii="宋体" w:hAnsi="宋体"/>
          <w:color w:val="auto"/>
          <w:sz w:val="24"/>
          <w:szCs w:val="24"/>
          <w:highlight w:val="none"/>
        </w:rPr>
        <w:t>日</w:t>
      </w:r>
      <w:r>
        <w:rPr>
          <w:color w:val="auto"/>
          <w:highlight w:val="none"/>
        </w:rPr>
        <w:t xml:space="preserve">        </w:t>
      </w:r>
      <w:r>
        <w:rPr>
          <w:rFonts w:ascii="宋体" w:hAnsi="宋体"/>
          <w:color w:val="auto"/>
          <w:sz w:val="24"/>
          <w:szCs w:val="24"/>
          <w:highlight w:val="none"/>
        </w:rPr>
        <w:t>签定日期：</w:t>
      </w:r>
      <w:r>
        <w:rPr>
          <w:color w:val="auto"/>
          <w:highlight w:val="none"/>
        </w:rPr>
        <w:t xml:space="preserve">     </w:t>
      </w:r>
      <w:r>
        <w:rPr>
          <w:rFonts w:ascii="宋体" w:hAnsi="宋体"/>
          <w:color w:val="auto"/>
          <w:sz w:val="24"/>
          <w:szCs w:val="24"/>
          <w:highlight w:val="none"/>
        </w:rPr>
        <w:t>年</w:t>
      </w:r>
      <w:r>
        <w:rPr>
          <w:color w:val="auto"/>
          <w:highlight w:val="none"/>
        </w:rPr>
        <w:t xml:space="preserve">   </w:t>
      </w:r>
      <w:r>
        <w:rPr>
          <w:rFonts w:ascii="宋体" w:hAnsi="宋体"/>
          <w:color w:val="auto"/>
          <w:sz w:val="24"/>
          <w:szCs w:val="24"/>
          <w:highlight w:val="none"/>
        </w:rPr>
        <w:t>月</w:t>
      </w:r>
      <w:r>
        <w:rPr>
          <w:color w:val="auto"/>
          <w:highlight w:val="none"/>
        </w:rPr>
        <w:t xml:space="preserve">    </w:t>
      </w:r>
      <w:r>
        <w:rPr>
          <w:rFonts w:ascii="宋体" w:hAnsi="宋体"/>
          <w:color w:val="auto"/>
          <w:sz w:val="24"/>
          <w:szCs w:val="24"/>
          <w:highlight w:val="none"/>
        </w:rPr>
        <w:t>日</w:t>
      </w:r>
    </w:p>
    <w:p>
      <w:pPr>
        <w:spacing w:line="360" w:lineRule="auto"/>
        <w:rPr>
          <w:color w:val="auto"/>
          <w:highlight w:val="none"/>
        </w:rPr>
      </w:pPr>
      <w:r>
        <w:rPr>
          <w:color w:val="auto"/>
          <w:highlight w:val="none"/>
        </w:rPr>
        <w:t xml:space="preserve"> </w:t>
      </w:r>
    </w:p>
    <w:p>
      <w:pPr>
        <w:spacing w:line="360" w:lineRule="auto"/>
        <w:rPr>
          <w:color w:val="auto"/>
          <w:highlight w:val="none"/>
        </w:rPr>
      </w:pPr>
      <w:r>
        <w:rPr>
          <w:rFonts w:ascii="宋体" w:hAnsi="宋体"/>
          <w:color w:val="auto"/>
          <w:sz w:val="24"/>
          <w:szCs w:val="24"/>
          <w:highlight w:val="none"/>
        </w:rPr>
        <w:t>开户名称：</w:t>
      </w:r>
    </w:p>
    <w:p>
      <w:pPr>
        <w:spacing w:line="360" w:lineRule="auto"/>
        <w:rPr>
          <w:rFonts w:ascii="宋体" w:hAnsi="宋体"/>
          <w:color w:val="auto"/>
          <w:sz w:val="24"/>
          <w:szCs w:val="24"/>
          <w:highlight w:val="none"/>
        </w:rPr>
      </w:pPr>
      <w:r>
        <w:rPr>
          <w:rFonts w:ascii="宋体" w:hAnsi="宋体"/>
          <w:color w:val="auto"/>
          <w:sz w:val="24"/>
          <w:szCs w:val="24"/>
          <w:highlight w:val="none"/>
        </w:rPr>
        <w:t>银行帐号：</w:t>
      </w:r>
    </w:p>
    <w:p>
      <w:pPr>
        <w:spacing w:line="360" w:lineRule="auto"/>
      </w:pPr>
      <w:r>
        <w:rPr>
          <w:rFonts w:ascii="宋体" w:hAnsi="宋体"/>
          <w:color w:val="auto"/>
          <w:sz w:val="24"/>
          <w:szCs w:val="24"/>
          <w:highlight w:val="none"/>
        </w:rPr>
        <w:t>开户行：</w:t>
      </w:r>
    </w:p>
    <w:sectPr>
      <w:headerReference r:id="rId6" w:type="first"/>
      <w:headerReference r:id="rId5" w:type="default"/>
      <w:footerReference r:id="rId7" w:type="default"/>
      <w:pgSz w:w="11906" w:h="16838"/>
      <w:pgMar w:top="1191" w:right="1418" w:bottom="1134" w:left="1418"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黑体" w:hAnsi="黑体" w:eastAsia="黑体" w:cs="黑体"/>
        <w:b/>
        <w:color w:val="E36C0A"/>
        <w:sz w:val="24"/>
        <w:szCs w:val="24"/>
      </w:rPr>
    </w:pPr>
    <w:r>
      <w:rPr>
        <w:sz w:val="2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-26035</wp:posOffset>
              </wp:positionV>
              <wp:extent cx="914400" cy="914400"/>
              <wp:effectExtent l="3175" t="3175" r="15875" b="15875"/>
              <wp:wrapNone/>
              <wp:docPr id="4" name="直接连接符 19"/>
              <wp:cNvGraphicFramePr/>
              <a:graphic xmlns:a="http://schemas.openxmlformats.org/drawingml/2006/main">
                <a:graphicData uri="http://schemas.microsoft.com/office/word/2010/wordprocessingShape">
                  <wps:wsp>
                    <wps:cNvCnPr/>
                    <wps:spPr>
                      <a:xfrm>
                        <a:off x="0" y="0"/>
                        <a:ext cx="5480685" cy="635"/>
                      </a:xfrm>
                      <a:prstGeom prst="line">
                        <a:avLst/>
                      </a:prstGeom>
                      <a:ln cap="fla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9" o:spid="_x0000_s1026" o:spt="20" style="position:absolute;left:0pt;margin-left:0.35pt;margin-top:-2.05pt;height:72pt;width:72pt;z-index:251659264;mso-width-relative:page;mso-height-relative:page;" filled="f" stroked="t" coordsize="21600,21600" o:gfxdata="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QXc&#10;kNcAAAAHAQAADwAAAAAAAAABACAAAAAiAAAAZHJzL2Rvd25yZXYueG1sUEsBAhQAFAAAAAgAh07i&#10;QJBIXPvqAQAAtAMAAA4AAAAAAAAAAQAgAAAAJgEAAGRycy9lMm9Eb2MueG1sUEsFBgAAAAAGAAYA&#10;WQEAAIIFAAAAAA==&#10;">
              <v:fill on="f" focussize="0,0"/>
              <v:stroke weight="0.5pt" color="#5B9BD5 [3204]" miterlimit="8" joinstyle="miter"/>
              <v:imagedata o:title=""/>
              <o:lock v:ext="edit" aspectratio="f"/>
            </v:line>
          </w:pict>
        </mc:Fallback>
      </mc:AlternateContent>
    </w:r>
    <w:r>
      <w:rPr>
        <w:sz w:val="20"/>
      </w:rPr>
      <w:drawing>
        <wp:inline distT="0" distB="0" distL="0" distR="0">
          <wp:extent cx="2115185" cy="325120"/>
          <wp:effectExtent l="0" t="0" r="18415" b="17780"/>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115820" cy="325755"/>
                  </a:xfrm>
                  <a:prstGeom prst="rect">
                    <a:avLst/>
                  </a:prstGeom>
                  <a:ln cap="flat"/>
                </pic:spPr>
              </pic:pic>
            </a:graphicData>
          </a:graphic>
        </wp:inline>
      </w:drawing>
    </w:r>
    <w:r>
      <w:rPr>
        <w:rFonts w:ascii="黑体" w:hAnsi="黑体" w:eastAsia="黑体" w:cs="黑体"/>
        <w:b/>
        <w:color w:val="E36C0A"/>
        <w:sz w:val="24"/>
        <w:szCs w:val="24"/>
      </w:rPr>
      <w:t xml:space="preserve">                             0668-3366608</w:t>
    </w:r>
  </w:p>
  <w:p>
    <w:pPr>
      <w:spacing w:line="14" w:lineRule="auto"/>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- 0 -</w:t>
                    </w:r>
                    <w:r>
                      <w:fldChar w:fldCharType="end"/>
                    </w:r>
                  </w:p>
                </w:txbxContent>
              </v:textbox>
            </v:shape>
          </w:pict>
        </mc:Fallback>
      </mc:AlternateContent>
    </w:r>
    <w:r>
      <w:rPr>
        <w:sz w:val="20"/>
      </w:rPr>
      <w:drawing>
        <wp:anchor distT="0" distB="0" distL="114300" distR="114300" simplePos="0" relativeHeight="251662336" behindDoc="0" locked="0" layoutInCell="1" allowOverlap="1">
          <wp:simplePos x="0" y="0"/>
          <wp:positionH relativeFrom="column">
            <wp:posOffset>93345</wp:posOffset>
          </wp:positionH>
          <wp:positionV relativeFrom="paragraph">
            <wp:posOffset>85090</wp:posOffset>
          </wp:positionV>
          <wp:extent cx="1981200" cy="285750"/>
          <wp:effectExtent l="0" t="0" r="0" b="0"/>
          <wp:wrapNone/>
          <wp:docPr id="18" name="图片 1" descr="61d2b969b60b0cc1f42c5cc29133f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61d2b969b60b0cc1f42c5cc29133f4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81200" cy="285750"/>
                  </a:xfrm>
                  <a:prstGeom prst="rect">
                    <a:avLst/>
                  </a:prstGeom>
                  <a:noFill/>
                  <a:ln cap="flat"/>
                </pic:spPr>
              </pic:pic>
            </a:graphicData>
          </a:graphic>
        </wp:anchor>
      </w:drawing>
    </w:r>
    <w:r>
      <w:rPr>
        <w:sz w:val="20"/>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6350</wp:posOffset>
              </wp:positionV>
              <wp:extent cx="5848985" cy="0"/>
              <wp:effectExtent l="0" t="0" r="0" b="0"/>
              <wp:wrapNone/>
              <wp:docPr id="17" name="直接连接符 22"/>
              <wp:cNvGraphicFramePr/>
              <a:graphic xmlns:a="http://schemas.openxmlformats.org/drawingml/2006/main">
                <a:graphicData uri="http://schemas.microsoft.com/office/word/2010/wordprocessingShape">
                  <wps:wsp>
                    <wps:cNvCnPr/>
                    <wps:spPr>
                      <a:xfrm>
                        <a:off x="0" y="0"/>
                        <a:ext cx="5848709" cy="0"/>
                      </a:xfrm>
                      <a:prstGeom prst="line">
                        <a:avLst/>
                      </a:prstGeom>
                      <a:ln cap="flat">
                        <a:solidFill>
                          <a:schemeClr val="accent1">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2" o:spid="_x0000_s1026" o:spt="20" style="position:absolute;left:0pt;margin-left:-2.95pt;margin-top:0.5pt;height:0pt;width:460.55pt;z-index:251661312;mso-width-relative:page;mso-height-relative:page;" filled="f" stroked="t" coordsize="21600,21600" o:gfxdata="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1bJA1AAAAAYBAAAPAAAAAAAAAAEAIAAAACIAAABkcnMvZG93bnJldi54bWxQ&#10;SwECFAAUAAAACACHTuJAuLcOAfsBAADWAwAADgAAAAAAAAABACAAAAAjAQAAZHJzL2Uyb0RvYy54&#10;bWxQSwUGAAAAAAYABgBZAQAAkAUAAAAA&#10;">
              <v:fill on="f" focussize="0,0"/>
              <v:stroke weight="0.5pt" color="#589BD8 [3204]"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lang w:val="zh-CN"/>
      </w:rPr>
      <w:t>[</w:t>
    </w:r>
    <w:r>
      <w:rPr>
        <w:rFonts w:hint="eastAsia" w:cs="宋体"/>
        <w:lang w:val="zh-CN"/>
      </w:rPr>
      <w:t>在此处键入</w:t>
    </w:r>
    <w:r>
      <w:rPr>
        <w:lang w:val="zh-CN"/>
      </w:rPr>
      <w:t>]</w:t>
    </w:r>
  </w:p>
  <w:p>
    <w:pPr>
      <w:pStyle w:val="8"/>
      <w:jc w:val="left"/>
      <w:rPr>
        <w:rFonts w:ascii="黑体" w:hAnsi="黑体" w:eastAsia="黑体"/>
        <w:color w:val="E36C0A"/>
        <w:sz w:val="21"/>
        <w:szCs w:val="21"/>
      </w:rPr>
    </w:pPr>
    <w:r>
      <w:rPr>
        <w:rFonts w:hint="eastAsia" w:ascii="黑体" w:hAnsi="黑体" w:eastAsia="黑体" w:cs="黑体"/>
        <w:b/>
        <w:color w:val="E36C0A"/>
        <w:sz w:val="21"/>
        <w:szCs w:val="21"/>
      </w:rPr>
      <w:t>化州市妇幼保健院绩效管理体系建设项目</w:t>
    </w:r>
    <w:r>
      <w:rPr>
        <w:rFonts w:ascii="黑体" w:hAnsi="黑体" w:eastAsia="黑体" w:cs="黑体"/>
        <w:b/>
        <w:color w:val="E36C0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Times New Roman" w:hAnsi="Times New Roman" w:eastAsia="新宋体" w:cs="Times New Roman"/>
        <w:b/>
        <w:color w:val="000000"/>
        <w:sz w:val="24"/>
        <w:szCs w:val="24"/>
      </w:rPr>
    </w:pPr>
    <w:r>
      <w:rPr>
        <w:sz w:val="20"/>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201295</wp:posOffset>
              </wp:positionV>
              <wp:extent cx="5761990" cy="0"/>
              <wp:effectExtent l="0" t="0" r="0" b="0"/>
              <wp:wrapNone/>
              <wp:docPr id="13" name="直接连接符 21"/>
              <wp:cNvGraphicFramePr/>
              <a:graphic xmlns:a="http://schemas.openxmlformats.org/drawingml/2006/main">
                <a:graphicData uri="http://schemas.microsoft.com/office/word/2010/wordprocessingShape">
                  <wps:wsp>
                    <wps:cNvCnPr/>
                    <wps:spPr>
                      <a:xfrm>
                        <a:off x="0" y="0"/>
                        <a:ext cx="5762086" cy="0"/>
                      </a:xfrm>
                      <a:prstGeom prst="line">
                        <a:avLst/>
                      </a:prstGeom>
                      <a:ln cap="flat">
                        <a:solidFill>
                          <a:schemeClr val="accent1">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1" o:spid="_x0000_s1026" o:spt="20" style="position:absolute;left:0pt;margin-left:3.8pt;margin-top:15.85pt;height:0pt;width:453.7pt;z-index:251660288;mso-width-relative:page;mso-height-relative:page;" filled="f" stroked="t" coordsize="21600,21600" o:gfxdata="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S/3Q1QAAAAcBAAAPAAAAAAAAAAEAIAAAACIAAABkcnMvZG93bnJldi54bWxQ&#10;SwECFAAUAAAACACHTuJAN4zmsPoBAADWAwAADgAAAAAAAAABACAAAAAkAQAAZHJzL2Uyb0RvYy54&#10;bWxQSwUGAAAAAAYABgBZAQAAkAUAAAAA&#10;">
              <v:fill on="f" focussize="0,0"/>
              <v:stroke weight="0.5pt" color="#589BD8 [3204]" miterlimit="8" joinstyle="miter"/>
              <v:imagedata o:title=""/>
              <o:lock v:ext="edit" aspectratio="f"/>
            </v:line>
          </w:pict>
        </mc:Fallback>
      </mc:AlternateContent>
    </w:r>
    <w:r>
      <w:rPr>
        <w:rFonts w:hint="eastAsia" w:ascii="Times New Roman" w:hAnsi="Times New Roman" w:eastAsia="新宋体" w:cs="Times New Roman"/>
        <w:b/>
        <w:color w:val="548235" w:themeColor="accent6" w:themeShade="BF"/>
        <w:sz w:val="24"/>
        <w:szCs w:val="24"/>
      </w:rPr>
      <w:t>化州市妇幼保健院绩效管理体系建设项目 　　     ZLD2023-CGC1607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OWJkZTg2Y2JhYjJmMGZhNjcyNjc0YTEyYzBiYWUifQ=="/>
  </w:docVars>
  <w:rsids>
    <w:rsidRoot w:val="627B68CB"/>
    <w:rsid w:val="627B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Calibri"/>
      <w:sz w:val="21"/>
      <w:szCs w:val="21"/>
      <w:lang w:val="en-US" w:eastAsia="zh-CN" w:bidi="ar-SA"/>
    </w:rPr>
  </w:style>
  <w:style w:type="paragraph" w:styleId="2">
    <w:name w:val="heading 1"/>
    <w:basedOn w:val="1"/>
    <w:next w:val="1"/>
    <w:qFormat/>
    <w:uiPriority w:val="7"/>
    <w:pPr>
      <w:spacing w:before="340" w:after="330" w:line="578" w:lineRule="auto"/>
      <w:outlineLvl w:val="0"/>
    </w:pPr>
    <w:rPr>
      <w:sz w:val="44"/>
      <w:szCs w:val="44"/>
    </w:rPr>
  </w:style>
  <w:style w:type="paragraph" w:styleId="3">
    <w:name w:val="heading 2"/>
    <w:basedOn w:val="1"/>
    <w:next w:val="1"/>
    <w:qFormat/>
    <w:uiPriority w:val="8"/>
    <w:pPr>
      <w:spacing w:before="260" w:after="260" w:line="415" w:lineRule="auto"/>
      <w:outlineLvl w:val="1"/>
    </w:pPr>
    <w:rPr>
      <w:rFonts w:ascii="Arial" w:hAnsi="Arial" w:eastAsia="黑体" w:cs="Arial"/>
      <w:b/>
      <w:sz w:val="32"/>
      <w:szCs w:val="32"/>
    </w:rPr>
  </w:style>
  <w:style w:type="paragraph" w:styleId="4">
    <w:name w:val="heading 3"/>
    <w:basedOn w:val="1"/>
    <w:next w:val="1"/>
    <w:qFormat/>
    <w:uiPriority w:val="9"/>
    <w:pPr>
      <w:spacing w:before="260" w:after="260" w:line="415" w:lineRule="auto"/>
      <w:outlineLvl w:val="2"/>
    </w:pPr>
    <w:rPr>
      <w:rFonts w:ascii="Times New Roman" w:hAnsi="Times New Roman" w:cs="Times New Roman"/>
      <w:b/>
      <w:sz w:val="32"/>
      <w:szCs w:val="32"/>
    </w:rPr>
  </w:style>
  <w:style w:type="paragraph" w:styleId="5">
    <w:name w:val="heading 4"/>
    <w:basedOn w:val="1"/>
    <w:next w:val="1"/>
    <w:qFormat/>
    <w:uiPriority w:val="10"/>
    <w:pPr>
      <w:spacing w:before="280" w:after="290" w:line="376" w:lineRule="auto"/>
      <w:outlineLvl w:val="3"/>
    </w:pPr>
    <w:rPr>
      <w:rFonts w:ascii="Arial" w:hAnsi="Arial" w:eastAsia="黑体" w:cs="Arial"/>
      <w:b/>
      <w:sz w:val="28"/>
      <w:szCs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9">
    <w:name w:val="toc 1"/>
    <w:basedOn w:val="1"/>
    <w:next w:val="1"/>
    <w:qFormat/>
    <w:uiPriority w:val="28"/>
    <w:pPr>
      <w:spacing w:before="120" w:after="120"/>
      <w:jc w:val="left"/>
    </w:pPr>
    <w:rPr>
      <w:rFonts w:ascii="Times New Roman" w:hAnsi="Times New Roman" w:cs="Times New Roman"/>
      <w:b/>
      <w:caps/>
      <w:sz w:val="20"/>
      <w:szCs w:val="20"/>
    </w:rPr>
  </w:style>
  <w:style w:type="paragraph" w:styleId="10">
    <w:name w:val="toc 2"/>
    <w:basedOn w:val="1"/>
    <w:next w:val="1"/>
    <w:qFormat/>
    <w:uiPriority w:val="29"/>
    <w:pPr>
      <w:ind w:left="210"/>
      <w:jc w:val="left"/>
    </w:pPr>
    <w:rPr>
      <w:rFonts w:ascii="Times New Roman" w:hAnsi="Times New Roman" w:cs="Times New Roman"/>
      <w:smallCaps/>
      <w:sz w:val="20"/>
      <w:szCs w:val="20"/>
    </w:rPr>
  </w:style>
  <w:style w:type="paragraph" w:styleId="11">
    <w:name w:val="Body Text 2"/>
    <w:basedOn w:val="1"/>
    <w:semiHidden/>
    <w:unhideWhenUsed/>
    <w:qFormat/>
    <w:uiPriority w:val="0"/>
    <w:pPr>
      <w:spacing w:after="120" w:line="480" w:lineRule="auto"/>
    </w:pPr>
  </w:style>
  <w:style w:type="paragraph" w:styleId="12">
    <w:name w:val="Normal (Web)"/>
    <w:basedOn w:val="1"/>
    <w:qFormat/>
    <w:uiPriority w:val="0"/>
    <w:pPr>
      <w:spacing w:before="100" w:beforeAutospacing="1" w:after="100" w:afterAutospacing="1"/>
      <w:jc w:val="left"/>
    </w:pPr>
    <w:rPr>
      <w:rFonts w:ascii="宋体" w:hAnsi="宋体" w:cs="宋体"/>
      <w:color w:val="000000"/>
      <w:sz w:val="24"/>
      <w:szCs w:val="24"/>
    </w:r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paragraph" w:customStyle="1" w:styleId="17">
    <w:name w:val="标书正文1"/>
    <w:basedOn w:val="1"/>
    <w:qFormat/>
    <w:uiPriority w:val="0"/>
    <w:pPr>
      <w:spacing w:line="520" w:lineRule="exact"/>
      <w:ind w:firstLine="640"/>
    </w:pPr>
  </w:style>
  <w:style w:type="paragraph" w:customStyle="1" w:styleId="18">
    <w:name w:val="正文2"/>
    <w:qFormat/>
    <w:uiPriority w:val="0"/>
    <w:pPr>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27802</Words>
  <Characters>28768</Characters>
  <Lines>0</Lines>
  <Paragraphs>0</Paragraphs>
  <TotalTime>5</TotalTime>
  <ScaleCrop>false</ScaleCrop>
  <LinksUpToDate>false</LinksUpToDate>
  <CharactersWithSpaces>29332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2023-02-13T08:15:00Z</dcterms:created>
  <dc:creator>John</dc:creator>
  <cp:lastModifiedBy>John</cp:lastModifiedBy>
  <dcterms:modified xsi:type="dcterms:W3CDTF">2023-02-13T08:23:52Z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9858F234FFE3423F92E6B603245C19A0</vt:lpwstr>
  </property>
</Properties>
</file>